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3GPP TSG-RAN WG2 </w:t>
      </w:r>
      <w:r>
        <w:rPr>
          <w:rFonts w:ascii="Arial" w:hAnsi="Arial" w:cs="Arial"/>
          <w:b/>
          <w:bCs/>
          <w:snapToGrid w:val="0"/>
          <w:kern w:val="0"/>
          <w:sz w:val="24"/>
          <w:lang w:val="en-GB"/>
        </w:rPr>
        <w:t>NR Ad hoc 0118</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R2-1800439</w:t>
      </w:r>
    </w:p>
    <w:p>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lang w:val="en-GB"/>
        </w:rPr>
        <w:t>Vancouver, Canada, 22nd January – 26th January 2018</w:t>
      </w:r>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Configuration structure of the reportTrigger in CSI-MeasConfig (RILNo Z019)</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10.4.3.2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after="156" w:afterLines="50"/>
        <w:rPr>
          <w:rFonts w:hint="eastAsia"/>
        </w:rPr>
      </w:pPr>
      <w:r>
        <w:rPr>
          <w:rFonts w:hint="eastAsia"/>
        </w:rPr>
        <w:t>The structure of the CSI-RS configuration for L1 measurement and reporting (</w:t>
      </w:r>
      <w:r>
        <w:rPr>
          <w:i/>
          <w:iCs/>
        </w:rPr>
        <w:t>CSI-MeasConfig</w:t>
      </w:r>
      <w:r>
        <w:rPr>
          <w:rFonts w:hint="eastAsia"/>
        </w:rPr>
        <w:t xml:space="preserve">) has been </w:t>
      </w:r>
      <w:r>
        <w:t>captured</w:t>
      </w:r>
      <w:r>
        <w:rPr>
          <w:rFonts w:hint="eastAsia"/>
        </w:rPr>
        <w:t xml:space="preserve"> in the </w:t>
      </w:r>
      <w:r>
        <w:t>RRC specification</w:t>
      </w:r>
      <w:r>
        <w:rPr>
          <w:rFonts w:hint="eastAsia"/>
        </w:rPr>
        <w:t xml:space="preserve"> provided for ASN.1 review </w:t>
      </w:r>
      <w:r>
        <w:rPr>
          <w:rFonts w:hint="eastAsia"/>
        </w:rPr>
        <w:fldChar w:fldCharType="begin"/>
      </w:r>
      <w:r>
        <w:rPr>
          <w:rFonts w:hint="eastAsia"/>
        </w:rPr>
        <w:instrText xml:space="preserve"> REF _Ref12788 \n \h </w:instrText>
      </w:r>
      <w:r>
        <w:rPr>
          <w:rFonts w:hint="eastAsia"/>
        </w:rPr>
        <w:fldChar w:fldCharType="separate"/>
      </w:r>
      <w:r>
        <w:rPr>
          <w:rFonts w:hint="eastAsia"/>
        </w:rPr>
        <w:t>[1]</w:t>
      </w:r>
      <w:r>
        <w:rPr>
          <w:rFonts w:hint="eastAsia"/>
        </w:rPr>
        <w:fldChar w:fldCharType="end"/>
      </w:r>
      <w:r>
        <w:rPr>
          <w:rFonts w:hint="eastAsia"/>
        </w:rPr>
        <w:t>. Generally</w:t>
      </w:r>
      <w:r>
        <w:t xml:space="preserve"> speaking</w:t>
      </w:r>
      <w:r>
        <w:rPr>
          <w:rFonts w:hint="eastAsia"/>
        </w:rPr>
        <w:t xml:space="preserve">, the whole ASN.1 architecture and most of the IEs </w:t>
      </w:r>
      <w:r>
        <w:t xml:space="preserve">for CSI measurement </w:t>
      </w:r>
      <w:r>
        <w:rPr>
          <w:rFonts w:hint="eastAsia"/>
        </w:rPr>
        <w:t>reflects the parameters provided by RAN1</w:t>
      </w:r>
      <w:r>
        <w:rPr>
          <w:rFonts w:hint="eastAsia"/>
        </w:rPr>
        <w:fldChar w:fldCharType="begin"/>
      </w:r>
      <w:r>
        <w:rPr>
          <w:rFonts w:hint="eastAsia"/>
        </w:rPr>
        <w:instrText xml:space="preserve"> REF _Ref12791 \n \h </w:instrText>
      </w:r>
      <w:r>
        <w:rPr>
          <w:rFonts w:hint="eastAsia"/>
        </w:rPr>
        <w:fldChar w:fldCharType="separate"/>
      </w:r>
      <w:r>
        <w:rPr>
          <w:rFonts w:hint="eastAsia"/>
        </w:rPr>
        <w:t>[2]</w:t>
      </w:r>
      <w:r>
        <w:rPr>
          <w:rFonts w:hint="eastAsia"/>
        </w:rPr>
        <w:fldChar w:fldCharType="end"/>
      </w:r>
      <w:r>
        <w:t xml:space="preserve"> well</w:t>
      </w:r>
      <w:r>
        <w:rPr>
          <w:rFonts w:hint="eastAsia"/>
        </w:rPr>
        <w:t xml:space="preserve">. However, the structure of the </w:t>
      </w:r>
      <w:bookmarkStart w:id="2" w:name="OLE_LINK13"/>
      <w:r>
        <w:rPr>
          <w:i/>
          <w:iCs/>
        </w:rPr>
        <w:t>reportTrigger</w:t>
      </w:r>
      <w:bookmarkEnd w:id="2"/>
      <w:r>
        <w:rPr>
          <w:rFonts w:hint="eastAsia"/>
          <w:i/>
          <w:iCs/>
        </w:rPr>
        <w:t xml:space="preserve"> </w:t>
      </w:r>
      <w:r>
        <w:rPr>
          <w:rFonts w:hint="eastAsia"/>
        </w:rPr>
        <w:t>doesn</w:t>
      </w:r>
      <w:r>
        <w:t>’</w:t>
      </w:r>
      <w:r>
        <w:rPr>
          <w:rFonts w:hint="eastAsia"/>
        </w:rPr>
        <w:t>t reveal RAN1</w:t>
      </w:r>
      <w:r>
        <w:t>’</w:t>
      </w:r>
      <w:r>
        <w:rPr>
          <w:rFonts w:hint="eastAsia"/>
        </w:rPr>
        <w:t xml:space="preserve">s intention correctly. So in this contribution, the </w:t>
      </w:r>
      <w:r>
        <w:t>framework</w:t>
      </w:r>
      <w:r>
        <w:rPr>
          <w:rFonts w:hint="eastAsia"/>
        </w:rPr>
        <w:t xml:space="preserve"> </w:t>
      </w:r>
      <w:r>
        <w:t>for</w:t>
      </w:r>
      <w:r>
        <w:rPr>
          <w:rFonts w:hint="eastAsia"/>
        </w:rPr>
        <w:t xml:space="preserve"> the trigger state in RAN1 is </w:t>
      </w:r>
      <w:r>
        <w:t xml:space="preserve">analyzed to see whether the existing ASN.1 of the </w:t>
      </w:r>
      <w:r>
        <w:rPr>
          <w:rFonts w:hint="eastAsia"/>
          <w:i/>
        </w:rPr>
        <w:t>reportTrigger</w:t>
      </w:r>
      <w:r>
        <w:t xml:space="preserve"> reveals RAN1’s intention correctly or not.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snapToGrid w:val="0"/>
        <w:spacing w:after="156" w:afterLines="50"/>
        <w:rPr>
          <w:szCs w:val="21"/>
        </w:rPr>
      </w:pPr>
      <w:r>
        <w:rPr>
          <w:rFonts w:hint="eastAsia"/>
          <w:szCs w:val="21"/>
        </w:rPr>
        <w:t xml:space="preserve">A framework similar as the RRM measurement configuration for L3 mobility is introduced by RAN1 for the CSI resource and reporting configuration. As illustrated in Figure 1, a UE can be configured with M CSI resource settings (corresponding to </w:t>
      </w:r>
      <w:r>
        <w:rPr>
          <w:rFonts w:hint="eastAsia"/>
          <w:i/>
          <w:iCs/>
          <w:szCs w:val="21"/>
        </w:rPr>
        <w:t>CSI-ResourceConfig</w:t>
      </w:r>
      <w:r>
        <w:rPr>
          <w:rFonts w:hint="eastAsia"/>
          <w:szCs w:val="21"/>
        </w:rPr>
        <w:t xml:space="preserve"> in RAN2 ASN.1), N reporting settings (corresponding to </w:t>
      </w:r>
      <w:r>
        <w:rPr>
          <w:rFonts w:hint="eastAsia"/>
          <w:i/>
          <w:iCs/>
          <w:szCs w:val="21"/>
        </w:rPr>
        <w:t>CSI-ReportConfig</w:t>
      </w:r>
      <w:r>
        <w:rPr>
          <w:rFonts w:hint="eastAsia"/>
          <w:szCs w:val="21"/>
        </w:rPr>
        <w:t xml:space="preserve"> in RAN2 ASN.1), and a single CSI linkage setting (corresponding to </w:t>
      </w:r>
      <w:r>
        <w:rPr>
          <w:i/>
          <w:iCs/>
          <w:szCs w:val="21"/>
        </w:rPr>
        <w:t>csi-MeasIdToAddModList</w:t>
      </w:r>
      <w:r>
        <w:rPr>
          <w:rFonts w:hint="eastAsia"/>
          <w:szCs w:val="21"/>
        </w:rPr>
        <w:t xml:space="preserve"> in RAN2 ASN.1), where the CSI linkage setting includes L links. Each of the L links is configured to correspond to a CSI</w:t>
      </w:r>
      <w:r>
        <w:rPr>
          <w:szCs w:val="21"/>
        </w:rPr>
        <w:t xml:space="preserve"> reporting setting and a Resource setting.</w:t>
      </w:r>
      <w:r>
        <w:rPr>
          <w:rFonts w:hint="eastAsia"/>
          <w:szCs w:val="21"/>
        </w:rPr>
        <w:t xml:space="preserve"> </w:t>
      </w:r>
    </w:p>
    <w:p>
      <w:pPr>
        <w:snapToGrid w:val="0"/>
        <w:spacing w:after="156" w:afterLines="50"/>
        <w:rPr>
          <w:szCs w:val="21"/>
        </w:rPr>
      </w:pPr>
      <w:r>
        <w:rPr>
          <w:rFonts w:hint="eastAsia"/>
          <w:szCs w:val="21"/>
        </w:rPr>
        <w:t xml:space="preserve">RAN1 adopts a 3-levels CSI resources configuration, i.e. resource setting, resource set and resource. In each resource setting, up to 16 resource sets can be configured. While in each resource set, up to 64 resources can be included.  </w:t>
      </w:r>
    </w:p>
    <w:p>
      <w:pPr>
        <w:snapToGrid w:val="0"/>
        <w:spacing w:after="120"/>
        <w:jc w:val="center"/>
        <w:rPr>
          <w:sz w:val="22"/>
          <w:szCs w:val="22"/>
        </w:rPr>
      </w:pPr>
      <w:r>
        <w:object>
          <v:shape id="_x0000_i1025" o:spt="75" type="#_x0000_t75" style="height:282pt;width:414.7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pPr>
      <w:r>
        <w:rPr>
          <w:rFonts w:hint="eastAsia"/>
        </w:rPr>
        <w:t>Figure 1 Framework for the CSI resource and reporting configuration</w:t>
      </w:r>
    </w:p>
    <w:p>
      <w:pPr>
        <w:snapToGrid w:val="0"/>
        <w:spacing w:after="120"/>
        <w:jc w:val="center"/>
      </w:pPr>
    </w:p>
    <w:p>
      <w:pPr>
        <w:spacing w:after="156" w:afterLines="50"/>
      </w:pPr>
      <w:r>
        <w:rPr>
          <w:rFonts w:hint="eastAsia"/>
        </w:rPr>
        <w:t xml:space="preserve">Besides the CSI resource and reporting configuration above, a list of trigger state (corresponding to the </w:t>
      </w:r>
      <w:r>
        <w:rPr>
          <w:rFonts w:hint="eastAsia"/>
          <w:i/>
          <w:iCs/>
        </w:rPr>
        <w:t xml:space="preserve">reportTrigger </w:t>
      </w:r>
      <w:r>
        <w:rPr>
          <w:rFonts w:hint="eastAsia"/>
        </w:rPr>
        <w:t xml:space="preserve">in RAN2 ASN.1) </w:t>
      </w:r>
      <w:r>
        <w:t>is</w:t>
      </w:r>
      <w:r>
        <w:rPr>
          <w:rFonts w:hint="eastAsia"/>
        </w:rPr>
        <w:t xml:space="preserve"> introduced in parallel for dynamically selecting one or more aperiodic and semi-persistent reporting configurations and/or triggering one or more aperiodic CSI-RS resource sets for channel and/or interference measurement (Max Sc=128). Each of the trigger state can be a type of aperiodic trigger or semi-persistent trigger on PUSCH.  </w:t>
      </w:r>
    </w:p>
    <w:tbl>
      <w:tblPr>
        <w:tblStyle w:val="64"/>
        <w:tblW w:w="9853" w:type="dxa"/>
        <w:tblInd w:w="0" w:type="dxa"/>
        <w:tblLayout w:type="fixed"/>
        <w:tblCellMar>
          <w:top w:w="0" w:type="dxa"/>
          <w:left w:w="0" w:type="dxa"/>
          <w:bottom w:w="0" w:type="dxa"/>
          <w:right w:w="0" w:type="dxa"/>
        </w:tblCellMar>
      </w:tblPr>
      <w:tblGrid>
        <w:gridCol w:w="1483"/>
        <w:gridCol w:w="6127"/>
        <w:gridCol w:w="2243"/>
      </w:tblGrid>
      <w:tr>
        <w:tblPrEx>
          <w:tblLayout w:type="fixed"/>
          <w:tblCellMar>
            <w:top w:w="0" w:type="dxa"/>
            <w:left w:w="0" w:type="dxa"/>
            <w:bottom w:w="0" w:type="dxa"/>
            <w:right w:w="0" w:type="dxa"/>
          </w:tblCellMar>
        </w:tblPrEx>
        <w:trPr>
          <w:trHeight w:val="285" w:hRule="atLeast"/>
        </w:trPr>
        <w:tc>
          <w:tcPr>
            <w:tcW w:w="148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eastAsia="宋体"/>
                <w:szCs w:val="21"/>
              </w:rPr>
            </w:pPr>
            <w:r>
              <w:rPr>
                <w:rFonts w:eastAsia="宋体"/>
                <w:kern w:val="0"/>
                <w:szCs w:val="21"/>
                <w:lang w:bidi="ar"/>
              </w:rPr>
              <w:t>Parameter name in specification</w:t>
            </w:r>
          </w:p>
        </w:tc>
        <w:tc>
          <w:tcPr>
            <w:tcW w:w="6127"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eastAsia="宋体"/>
                <w:szCs w:val="21"/>
              </w:rPr>
            </w:pPr>
            <w:r>
              <w:rPr>
                <w:rFonts w:eastAsia="宋体"/>
                <w:kern w:val="0"/>
                <w:szCs w:val="21"/>
                <w:lang w:bidi="ar"/>
              </w:rPr>
              <w:t>Description</w:t>
            </w:r>
          </w:p>
        </w:tc>
        <w:tc>
          <w:tcPr>
            <w:tcW w:w="2243"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eastAsia="宋体"/>
                <w:szCs w:val="21"/>
              </w:rPr>
            </w:pPr>
            <w:r>
              <w:rPr>
                <w:rFonts w:eastAsia="宋体"/>
                <w:kern w:val="0"/>
                <w:szCs w:val="21"/>
                <w:lang w:bidi="ar"/>
              </w:rPr>
              <w:t>Value range</w:t>
            </w:r>
          </w:p>
        </w:tc>
      </w:tr>
      <w:tr>
        <w:tblPrEx>
          <w:tblLayout w:type="fixed"/>
          <w:tblCellMar>
            <w:top w:w="0" w:type="dxa"/>
            <w:left w:w="0" w:type="dxa"/>
            <w:bottom w:w="0" w:type="dxa"/>
            <w:right w:w="0" w:type="dxa"/>
          </w:tblCellMar>
        </w:tblPrEx>
        <w:trPr>
          <w:trHeight w:val="2280" w:hRule="atLeast"/>
        </w:trPr>
        <w:tc>
          <w:tcPr>
            <w:tcW w:w="148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tcPr>
          <w:p>
            <w:pPr>
              <w:widowControl/>
              <w:jc w:val="left"/>
              <w:textAlignment w:val="top"/>
              <w:rPr>
                <w:rFonts w:eastAsia="宋体"/>
                <w:szCs w:val="21"/>
              </w:rPr>
            </w:pPr>
            <w:r>
              <w:rPr>
                <w:rFonts w:eastAsia="宋体"/>
                <w:kern w:val="0"/>
                <w:szCs w:val="21"/>
                <w:lang w:bidi="ar"/>
              </w:rPr>
              <w:t>aperiodicReportTrigger</w:t>
            </w:r>
          </w:p>
        </w:tc>
        <w:tc>
          <w:tcPr>
            <w:tcW w:w="6127" w:type="dxa"/>
            <w:tcBorders>
              <w:top w:val="nil"/>
              <w:left w:val="nil"/>
              <w:bottom w:val="single" w:color="auto" w:sz="4" w:space="0"/>
              <w:right w:val="single" w:color="auto" w:sz="4" w:space="0"/>
            </w:tcBorders>
            <w:shd w:val="clear" w:color="auto" w:fill="auto"/>
            <w:tcMar>
              <w:top w:w="15" w:type="dxa"/>
              <w:left w:w="15" w:type="dxa"/>
              <w:right w:w="15" w:type="dxa"/>
            </w:tcMar>
          </w:tcPr>
          <w:p>
            <w:pPr>
              <w:widowControl/>
              <w:jc w:val="left"/>
              <w:textAlignment w:val="top"/>
              <w:rPr>
                <w:rFonts w:eastAsia="宋体"/>
                <w:szCs w:val="21"/>
              </w:rPr>
            </w:pPr>
            <w:r>
              <w:rPr>
                <w:rFonts w:eastAsia="宋体"/>
                <w:kern w:val="0"/>
                <w:szCs w:val="21"/>
                <w:lang w:bidi="ar"/>
              </w:rPr>
              <w:t xml:space="preserve">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 </w:t>
            </w:r>
          </w:p>
        </w:tc>
        <w:tc>
          <w:tcPr>
            <w:tcW w:w="2243" w:type="dxa"/>
            <w:tcBorders>
              <w:top w:val="nil"/>
              <w:left w:val="nil"/>
              <w:bottom w:val="single" w:color="auto" w:sz="4" w:space="0"/>
              <w:right w:val="single" w:color="auto" w:sz="4" w:space="0"/>
            </w:tcBorders>
            <w:shd w:val="clear" w:color="auto" w:fill="auto"/>
            <w:tcMar>
              <w:top w:w="15" w:type="dxa"/>
              <w:left w:w="15" w:type="dxa"/>
              <w:right w:w="15" w:type="dxa"/>
            </w:tcMar>
          </w:tcPr>
          <w:p>
            <w:pPr>
              <w:widowControl/>
              <w:jc w:val="left"/>
              <w:textAlignment w:val="top"/>
              <w:rPr>
                <w:rFonts w:eastAsia="宋体"/>
                <w:szCs w:val="21"/>
              </w:rPr>
            </w:pPr>
            <w:r>
              <w:rPr>
                <w:rFonts w:eastAsia="宋体"/>
                <w:kern w:val="0"/>
                <w:szCs w:val="21"/>
                <w:lang w:bidi="ar"/>
              </w:rPr>
              <w:t>　</w:t>
            </w:r>
          </w:p>
        </w:tc>
      </w:tr>
      <w:tr>
        <w:tblPrEx>
          <w:tblLayout w:type="fixed"/>
          <w:tblCellMar>
            <w:top w:w="0" w:type="dxa"/>
            <w:left w:w="0" w:type="dxa"/>
            <w:bottom w:w="0" w:type="dxa"/>
            <w:right w:w="0" w:type="dxa"/>
          </w:tblCellMar>
        </w:tblPrEx>
        <w:trPr>
          <w:trHeight w:val="600" w:hRule="atLeast"/>
        </w:trPr>
        <w:tc>
          <w:tcPr>
            <w:tcW w:w="148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tcPr>
          <w:p>
            <w:pPr>
              <w:widowControl/>
              <w:jc w:val="left"/>
              <w:textAlignment w:val="top"/>
              <w:rPr>
                <w:rFonts w:eastAsia="宋体"/>
                <w:szCs w:val="21"/>
              </w:rPr>
            </w:pPr>
            <w:r>
              <w:rPr>
                <w:rFonts w:eastAsia="宋体"/>
                <w:kern w:val="0"/>
                <w:szCs w:val="21"/>
                <w:lang w:bidi="ar"/>
              </w:rPr>
              <w:t>ReportConfigIDList</w:t>
            </w:r>
          </w:p>
        </w:tc>
        <w:tc>
          <w:tcPr>
            <w:tcW w:w="6127" w:type="dxa"/>
            <w:tcBorders>
              <w:top w:val="nil"/>
              <w:left w:val="nil"/>
              <w:bottom w:val="single" w:color="auto" w:sz="4" w:space="0"/>
              <w:right w:val="single" w:color="auto" w:sz="4" w:space="0"/>
            </w:tcBorders>
            <w:shd w:val="clear" w:color="auto" w:fill="auto"/>
            <w:tcMar>
              <w:top w:w="15" w:type="dxa"/>
              <w:left w:w="15" w:type="dxa"/>
              <w:right w:w="15" w:type="dxa"/>
            </w:tcMar>
          </w:tcPr>
          <w:p>
            <w:pPr>
              <w:widowControl/>
              <w:jc w:val="left"/>
              <w:textAlignment w:val="top"/>
              <w:rPr>
                <w:rFonts w:eastAsia="宋体"/>
                <w:szCs w:val="21"/>
              </w:rPr>
            </w:pPr>
            <w:r>
              <w:rPr>
                <w:rFonts w:eastAsia="宋体"/>
                <w:kern w:val="0"/>
                <w:szCs w:val="21"/>
                <w:lang w:bidi="ar"/>
              </w:rPr>
              <w:t>A list of ReportConfigIDs per report trigger state (max number of ReportConfigIDs = 16)</w:t>
            </w:r>
          </w:p>
        </w:tc>
        <w:tc>
          <w:tcPr>
            <w:tcW w:w="2243" w:type="dxa"/>
            <w:tcBorders>
              <w:top w:val="nil"/>
              <w:left w:val="nil"/>
              <w:bottom w:val="single" w:color="auto" w:sz="4" w:space="0"/>
              <w:right w:val="single" w:color="auto" w:sz="4" w:space="0"/>
            </w:tcBorders>
            <w:shd w:val="clear" w:color="auto" w:fill="auto"/>
            <w:tcMar>
              <w:top w:w="15" w:type="dxa"/>
              <w:left w:w="15" w:type="dxa"/>
              <w:right w:w="15" w:type="dxa"/>
            </w:tcMar>
          </w:tcPr>
          <w:p>
            <w:pPr>
              <w:widowControl/>
              <w:jc w:val="left"/>
              <w:textAlignment w:val="top"/>
              <w:rPr>
                <w:rFonts w:eastAsia="宋体"/>
                <w:szCs w:val="21"/>
              </w:rPr>
            </w:pPr>
            <w:r>
              <w:rPr>
                <w:rFonts w:eastAsia="宋体"/>
                <w:kern w:val="0"/>
                <w:szCs w:val="21"/>
                <w:lang w:bidi="ar"/>
              </w:rPr>
              <w:t>A list of ReportConfigIDs per report trigger state (max number of ReportConfigIDs = 16)</w:t>
            </w:r>
          </w:p>
        </w:tc>
      </w:tr>
      <w:tr>
        <w:tblPrEx>
          <w:tblLayout w:type="fixed"/>
          <w:tblCellMar>
            <w:top w:w="0" w:type="dxa"/>
            <w:left w:w="0" w:type="dxa"/>
            <w:bottom w:w="0" w:type="dxa"/>
            <w:right w:w="0" w:type="dxa"/>
          </w:tblCellMar>
        </w:tblPrEx>
        <w:trPr>
          <w:trHeight w:val="1425" w:hRule="atLeast"/>
        </w:trPr>
        <w:tc>
          <w:tcPr>
            <w:tcW w:w="148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eastAsia="宋体"/>
                <w:szCs w:val="21"/>
              </w:rPr>
            </w:pPr>
            <w:r>
              <w:rPr>
                <w:rFonts w:eastAsia="宋体"/>
                <w:kern w:val="0"/>
                <w:szCs w:val="21"/>
                <w:lang w:bidi="ar"/>
              </w:rPr>
              <w:t>QCL-Info-aPeriodicReportingTrigger</w:t>
            </w:r>
          </w:p>
        </w:tc>
        <w:tc>
          <w:tcPr>
            <w:tcW w:w="61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eastAsia="宋体"/>
                <w:szCs w:val="21"/>
              </w:rPr>
            </w:pPr>
            <w:r>
              <w:rPr>
                <w:rFonts w:eastAsia="宋体"/>
                <w:kern w:val="0"/>
                <w:szCs w:val="21"/>
                <w:lang w:bidi="ar"/>
              </w:rPr>
              <w:t>For a trigger state within aperiodicReportTrigger that triggers a ap-CSI-RS resource set, contains a list of references to TCI-RS-SetConfig's in TCI-States for providing the QCL source and QCL type for each ap-CSI-RS resource within the triggered set of ap-CSI-RS resources. The length of the list is equal to the number of ap-CSI-RS resources in the set (CSI-RS-ResourceSetConfig)</w:t>
            </w:r>
          </w:p>
        </w:tc>
        <w:tc>
          <w:tcPr>
            <w:tcW w:w="2243"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eastAsia="宋体"/>
                <w:szCs w:val="21"/>
              </w:rPr>
            </w:pPr>
            <w:r>
              <w:rPr>
                <w:rFonts w:eastAsia="宋体"/>
                <w:kern w:val="0"/>
                <w:szCs w:val="21"/>
                <w:lang w:bidi="ar"/>
              </w:rPr>
              <w:t>List of IDs of TCI-RS-SetConfig's in TCI-States containing either a CSI-RS ID or an SSB ID</w:t>
            </w:r>
          </w:p>
        </w:tc>
      </w:tr>
      <w:tr>
        <w:tblPrEx>
          <w:tblLayout w:type="fixed"/>
          <w:tblCellMar>
            <w:top w:w="0" w:type="dxa"/>
            <w:left w:w="0" w:type="dxa"/>
            <w:bottom w:w="0" w:type="dxa"/>
            <w:right w:w="0" w:type="dxa"/>
          </w:tblCellMar>
        </w:tblPrEx>
        <w:trPr>
          <w:trHeight w:val="1035" w:hRule="atLeast"/>
        </w:trPr>
        <w:tc>
          <w:tcPr>
            <w:tcW w:w="148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eastAsia="宋体"/>
                <w:szCs w:val="21"/>
              </w:rPr>
            </w:pPr>
            <w:r>
              <w:rPr>
                <w:rFonts w:eastAsia="宋体"/>
                <w:kern w:val="0"/>
                <w:szCs w:val="21"/>
                <w:lang w:bidi="ar"/>
              </w:rPr>
              <w:t>ResourceSetBitmap</w:t>
            </w:r>
          </w:p>
        </w:tc>
        <w:tc>
          <w:tcPr>
            <w:tcW w:w="61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eastAsia="宋体"/>
                <w:szCs w:val="21"/>
              </w:rPr>
            </w:pPr>
            <w:r>
              <w:rPr>
                <w:rStyle w:val="281"/>
                <w:rFonts w:ascii="Times New Roman" w:hAnsi="Times New Roman" w:eastAsia="宋体" w:cs="Times New Roman"/>
                <w:sz w:val="21"/>
                <w:szCs w:val="21"/>
                <w:lang w:bidi="ar"/>
              </w:rPr>
              <w:t>bitmap with the bitwidth Nbit =number of resource sets (max number N</w:t>
            </w:r>
            <w:r>
              <w:rPr>
                <w:rStyle w:val="282"/>
                <w:rFonts w:ascii="Times New Roman" w:hAnsi="Times New Roman" w:eastAsia="宋体" w:cs="Times New Roman"/>
                <w:sz w:val="21"/>
                <w:szCs w:val="21"/>
                <w:vertAlign w:val="subscript"/>
                <w:lang w:bidi="ar"/>
              </w:rPr>
              <w:t>bit</w:t>
            </w:r>
            <w:r>
              <w:rPr>
                <w:rStyle w:val="281"/>
                <w:rFonts w:ascii="Times New Roman" w:hAnsi="Times New Roman" w:eastAsia="宋体" w:cs="Times New Roman"/>
                <w:sz w:val="21"/>
                <w:szCs w:val="21"/>
                <w:lang w:bidi="ar"/>
              </w:rPr>
              <w:t xml:space="preserve"> =16) in a linked resource setting per report trigger state.  Number of one(s) in the bitmap N</w:t>
            </w:r>
            <w:r>
              <w:rPr>
                <w:rStyle w:val="282"/>
                <w:rFonts w:ascii="Times New Roman" w:hAnsi="Times New Roman" w:eastAsia="宋体" w:cs="Times New Roman"/>
                <w:sz w:val="21"/>
                <w:szCs w:val="21"/>
                <w:vertAlign w:val="subscript"/>
                <w:lang w:bidi="ar"/>
              </w:rPr>
              <w:t>one</w:t>
            </w:r>
            <w:r>
              <w:rPr>
                <w:rStyle w:val="281"/>
                <w:rFonts w:ascii="Times New Roman" w:hAnsi="Times New Roman" w:eastAsia="宋体" w:cs="Times New Roman"/>
                <w:sz w:val="21"/>
                <w:szCs w:val="21"/>
                <w:lang w:bidi="ar"/>
              </w:rPr>
              <w:t xml:space="preserve"> = 1 for CSI acquisition and beam management</w:t>
            </w:r>
          </w:p>
        </w:tc>
        <w:tc>
          <w:tcPr>
            <w:tcW w:w="2243"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eastAsia="宋体"/>
                <w:szCs w:val="21"/>
              </w:rPr>
            </w:pPr>
            <w:r>
              <w:rPr>
                <w:rFonts w:eastAsia="宋体"/>
                <w:kern w:val="0"/>
                <w:szCs w:val="21"/>
                <w:lang w:bidi="ar"/>
              </w:rPr>
              <w:t>bitmap(number of resource sets bits)</w:t>
            </w:r>
          </w:p>
        </w:tc>
      </w:tr>
      <w:tr>
        <w:tblPrEx>
          <w:tblLayout w:type="fixed"/>
          <w:tblCellMar>
            <w:top w:w="0" w:type="dxa"/>
            <w:left w:w="0" w:type="dxa"/>
            <w:bottom w:w="0" w:type="dxa"/>
            <w:right w:w="0" w:type="dxa"/>
          </w:tblCellMar>
        </w:tblPrEx>
        <w:trPr>
          <w:trHeight w:val="570" w:hRule="atLeast"/>
        </w:trPr>
        <w:tc>
          <w:tcPr>
            <w:tcW w:w="1483"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eastAsia="宋体"/>
                <w:szCs w:val="21"/>
              </w:rPr>
            </w:pPr>
            <w:r>
              <w:rPr>
                <w:rFonts w:eastAsia="宋体"/>
                <w:kern w:val="0"/>
                <w:szCs w:val="21"/>
                <w:lang w:bidi="ar"/>
              </w:rPr>
              <w:t>Aperiodic-NZP-CSI-RS-TriggeringOffset</w:t>
            </w:r>
          </w:p>
        </w:tc>
        <w:tc>
          <w:tcPr>
            <w:tcW w:w="6127"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eastAsia="宋体"/>
                <w:szCs w:val="21"/>
              </w:rPr>
            </w:pPr>
            <w:r>
              <w:rPr>
                <w:rFonts w:eastAsia="宋体"/>
                <w:kern w:val="0"/>
                <w:szCs w:val="21"/>
                <w:lang w:bidi="ar"/>
              </w:rPr>
              <w:t>Offset X between the slot containing the DCI that triggers a set of aperiodic NZP CSI-RS resources and the slot in which the CSI-RS resource set is transmitted.</w:t>
            </w:r>
          </w:p>
        </w:tc>
        <w:tc>
          <w:tcPr>
            <w:tcW w:w="2243"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eastAsia="宋体"/>
                <w:szCs w:val="21"/>
              </w:rPr>
            </w:pPr>
            <w:r>
              <w:rPr>
                <w:rFonts w:eastAsia="宋体"/>
                <w:kern w:val="0"/>
                <w:szCs w:val="21"/>
                <w:lang w:bidi="ar"/>
              </w:rPr>
              <w:t xml:space="preserve"> Value range for X is FFS, but includes X = 0.</w:t>
            </w:r>
          </w:p>
        </w:tc>
      </w:tr>
    </w:tbl>
    <w:p>
      <w:pPr>
        <w:jc w:val="center"/>
      </w:pPr>
      <w:r>
        <w:rPr>
          <w:rFonts w:hint="eastAsia"/>
        </w:rPr>
        <w:t xml:space="preserve">Table 1 RRC parameters </w:t>
      </w:r>
      <w:r>
        <w:t xml:space="preserve">for </w:t>
      </w:r>
      <w:r>
        <w:rPr>
          <w:rFonts w:hint="eastAsia"/>
        </w:rPr>
        <w:t>aperiodic trigger state</w:t>
      </w:r>
    </w:p>
    <w:p>
      <w:pPr>
        <w:jc w:val="left"/>
      </w:pPr>
    </w:p>
    <w:p>
      <w:pPr>
        <w:jc w:val="center"/>
      </w:pPr>
      <w:r>
        <w:object>
          <v:shape id="_x0000_i1026" o:spt="75" type="#_x0000_t75" style="height:649.5pt;width:348.7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snapToGrid w:val="0"/>
        <w:spacing w:after="120"/>
        <w:jc w:val="center"/>
      </w:pPr>
      <w:r>
        <w:rPr>
          <w:rFonts w:hint="eastAsia"/>
        </w:rPr>
        <w:t xml:space="preserve">Figure 2. Framework for the </w:t>
      </w:r>
      <w:bookmarkStart w:id="3" w:name="OLE_LINK2"/>
      <w:r>
        <w:rPr>
          <w:rFonts w:hint="eastAsia"/>
        </w:rPr>
        <w:t>aperiodic reportTrigger</w:t>
      </w:r>
      <w:bookmarkEnd w:id="3"/>
      <w:r>
        <w:rPr>
          <w:rFonts w:hint="eastAsia"/>
        </w:rPr>
        <w:t xml:space="preserve"> configuration</w:t>
      </w:r>
    </w:p>
    <w:p>
      <w:pPr>
        <w:spacing w:after="156" w:afterLines="50"/>
        <w:jc w:val="left"/>
      </w:pPr>
      <w:r>
        <w:rPr>
          <w:rFonts w:hint="eastAsia"/>
        </w:rPr>
        <w:t>Table 1 lists the five parameters defined in the RRC parameter sheet given by RAN1</w:t>
      </w:r>
      <w:r>
        <w:t xml:space="preserve"> </w:t>
      </w:r>
      <w:r>
        <w:rPr>
          <w:rFonts w:hint="eastAsia"/>
        </w:rPr>
        <w:fldChar w:fldCharType="begin"/>
      </w:r>
      <w:r>
        <w:rPr>
          <w:rFonts w:hint="eastAsia"/>
        </w:rPr>
        <w:instrText xml:space="preserve"> REF _Ref12791 \n \h </w:instrText>
      </w:r>
      <w:r>
        <w:rPr>
          <w:rFonts w:hint="eastAsia"/>
        </w:rPr>
        <w:fldChar w:fldCharType="separate"/>
      </w:r>
      <w:r>
        <w:rPr>
          <w:rFonts w:hint="eastAsia"/>
        </w:rPr>
        <w:t>[2]</w:t>
      </w:r>
      <w:r>
        <w:rPr>
          <w:rFonts w:hint="eastAsia"/>
        </w:rPr>
        <w:fldChar w:fldCharType="end"/>
      </w:r>
      <w:r>
        <w:rPr>
          <w:rFonts w:hint="eastAsia"/>
        </w:rPr>
        <w:t xml:space="preserve"> for the aperiodic trigger state. According to those parameters, we can see that there are three major properties for the aperiodic trigger state:</w:t>
      </w:r>
    </w:p>
    <w:p>
      <w:pPr>
        <w:numPr>
          <w:ilvl w:val="0"/>
          <w:numId w:val="4"/>
        </w:numPr>
        <w:spacing w:after="156" w:afterLines="50"/>
        <w:jc w:val="left"/>
      </w:pPr>
      <w:r>
        <w:rPr>
          <w:rFonts w:hint="eastAsia"/>
        </w:rPr>
        <w:t xml:space="preserve">. Each trigger state is associated with up to 16 </w:t>
      </w:r>
      <w:r>
        <w:rPr>
          <w:rFonts w:hint="eastAsia"/>
          <w:i/>
        </w:rPr>
        <w:t>CSI-ReportConfig</w:t>
      </w:r>
      <w:r>
        <w:rPr>
          <w:rFonts w:hint="eastAsia"/>
        </w:rPr>
        <w:t>.</w:t>
      </w:r>
    </w:p>
    <w:p>
      <w:pPr>
        <w:numPr>
          <w:ilvl w:val="0"/>
          <w:numId w:val="4"/>
        </w:numPr>
        <w:spacing w:after="156" w:afterLines="50"/>
        <w:jc w:val="left"/>
      </w:pPr>
      <w:r>
        <w:rPr>
          <w:rFonts w:hint="eastAsia"/>
        </w:rPr>
        <w:t xml:space="preserve">. Each of the </w:t>
      </w:r>
      <w:bookmarkStart w:id="4" w:name="OLE_LINK1"/>
      <w:r>
        <w:rPr>
          <w:rFonts w:hint="eastAsia"/>
          <w:i/>
        </w:rPr>
        <w:t>CSI-ReportConfig</w:t>
      </w:r>
      <w:bookmarkEnd w:id="4"/>
      <w:r>
        <w:rPr>
          <w:rFonts w:hint="eastAsia"/>
        </w:rPr>
        <w:t xml:space="preserve"> in the trigger state is linked to up to 3 CSI resource settings.</w:t>
      </w:r>
    </w:p>
    <w:p>
      <w:pPr>
        <w:numPr>
          <w:ilvl w:val="0"/>
          <w:numId w:val="4"/>
        </w:numPr>
        <w:spacing w:after="156" w:afterLines="50"/>
        <w:jc w:val="left"/>
      </w:pPr>
      <w:r>
        <w:rPr>
          <w:rFonts w:hint="eastAsia"/>
        </w:rPr>
        <w:t xml:space="preserve">. A bitmap is associated to each CSI resource setting that is linked to a </w:t>
      </w:r>
      <w:r>
        <w:rPr>
          <w:rFonts w:hint="eastAsia"/>
          <w:i/>
        </w:rPr>
        <w:t>CSI-ReportConfig</w:t>
      </w:r>
      <w:r>
        <w:rPr>
          <w:rFonts w:hint="eastAsia"/>
        </w:rPr>
        <w:t xml:space="preserve"> to select the CSI resource set(s) from the </w:t>
      </w:r>
      <w:r>
        <w:t xml:space="preserve">CSI </w:t>
      </w:r>
      <w:r>
        <w:rPr>
          <w:rFonts w:hint="eastAsia"/>
        </w:rPr>
        <w:t xml:space="preserve">resource setting. </w:t>
      </w:r>
    </w:p>
    <w:p>
      <w:pPr>
        <w:numPr>
          <w:ilvl w:val="0"/>
          <w:numId w:val="4"/>
        </w:numPr>
        <w:spacing w:after="156" w:afterLines="50"/>
        <w:jc w:val="left"/>
      </w:pPr>
      <w:r>
        <w:rPr>
          <w:rFonts w:hint="eastAsia"/>
        </w:rPr>
        <w:t xml:space="preserve">. A list of references to </w:t>
      </w:r>
      <w:r>
        <w:rPr>
          <w:i/>
        </w:rPr>
        <w:t>TCI-RS-Se</w:t>
      </w:r>
      <w:r>
        <w:t>t</w:t>
      </w:r>
      <w:r>
        <w:rPr>
          <w:rFonts w:hint="eastAsia"/>
        </w:rPr>
        <w:t xml:space="preserve"> </w:t>
      </w:r>
      <w:r>
        <w:t>configured</w:t>
      </w:r>
      <w:r>
        <w:rPr>
          <w:rFonts w:hint="eastAsia"/>
        </w:rPr>
        <w:t xml:space="preserve"> in</w:t>
      </w:r>
      <w:r>
        <w:rPr>
          <w:rFonts w:hint="eastAsia"/>
          <w:i/>
        </w:rPr>
        <w:t xml:space="preserve"> </w:t>
      </w:r>
      <w:r>
        <w:rPr>
          <w:i/>
        </w:rPr>
        <w:t>tci-States</w:t>
      </w:r>
      <w:r>
        <w:rPr>
          <w:rFonts w:hint="eastAsia"/>
        </w:rPr>
        <w:t xml:space="preserve"> are</w:t>
      </w:r>
      <w:r>
        <w:t xml:space="preserve"> </w:t>
      </w:r>
      <w:r>
        <w:rPr>
          <w:rFonts w:hint="eastAsia"/>
        </w:rPr>
        <w:t xml:space="preserve">provided for each selected CSI resource set to provide the QCL source and QCL type for each CSI resource within this selected resource set. </w:t>
      </w:r>
    </w:p>
    <w:p>
      <w:pPr>
        <w:numPr>
          <w:ilvl w:val="0"/>
          <w:numId w:val="4"/>
        </w:numPr>
        <w:spacing w:after="156" w:afterLines="50"/>
        <w:jc w:val="left"/>
      </w:pPr>
      <w:r>
        <w:rPr>
          <w:rFonts w:hint="eastAsia"/>
        </w:rPr>
        <w:t xml:space="preserve">. An offset X is configured for each selected CSI resource set which is configured with </w:t>
      </w:r>
      <w:r>
        <w:rPr>
          <w:rFonts w:eastAsia="宋体"/>
          <w:kern w:val="0"/>
          <w:szCs w:val="21"/>
          <w:lang w:bidi="ar"/>
        </w:rPr>
        <w:t>NZP CSI-RS resources</w:t>
      </w:r>
      <w:r>
        <w:rPr>
          <w:rFonts w:hint="eastAsia" w:eastAsia="宋体"/>
          <w:kern w:val="0"/>
          <w:szCs w:val="21"/>
          <w:lang w:bidi="ar"/>
        </w:rPr>
        <w:t>.</w:t>
      </w:r>
    </w:p>
    <w:p>
      <w:pPr>
        <w:spacing w:after="156" w:afterLines="50"/>
      </w:pPr>
      <w:r>
        <w:rPr>
          <w:rFonts w:hint="eastAsia"/>
        </w:rPr>
        <w:t xml:space="preserve">Figure 2 illustrates the framework for the aperiodic </w:t>
      </w:r>
      <w:r>
        <w:rPr>
          <w:rFonts w:hint="eastAsia"/>
          <w:i/>
        </w:rPr>
        <w:t>reportTrigger</w:t>
      </w:r>
      <w:r>
        <w:rPr>
          <w:rFonts w:hint="eastAsia"/>
        </w:rPr>
        <w:t xml:space="preserve"> configuration based on the above four properties. </w:t>
      </w:r>
    </w:p>
    <w:p>
      <w:pPr>
        <w:spacing w:after="156" w:afterLines="50"/>
      </w:pPr>
      <w:r>
        <w:rPr>
          <w:rFonts w:hint="eastAsia"/>
        </w:rPr>
        <w:t xml:space="preserve">Given the above, it can be seen that the current </w:t>
      </w:r>
      <w:r>
        <w:rPr>
          <w:rFonts w:hint="eastAsia"/>
          <w:i/>
        </w:rPr>
        <w:t>reportTrigger</w:t>
      </w:r>
      <w:r>
        <w:rPr>
          <w:rFonts w:hint="eastAsia"/>
        </w:rPr>
        <w:t xml:space="preserve"> (As shown below)</w:t>
      </w:r>
      <w:r>
        <w:t xml:space="preserve">, especially the </w:t>
      </w:r>
      <w:r>
        <w:rPr>
          <w:rFonts w:hint="eastAsia"/>
        </w:rPr>
        <w:t>aperiodic type doesn</w:t>
      </w:r>
      <w:r>
        <w:t>’</w:t>
      </w:r>
      <w:r>
        <w:rPr>
          <w:rFonts w:hint="eastAsia"/>
        </w:rPr>
        <w:t xml:space="preserve">t reveal the intention of RAN1 properly. </w:t>
      </w:r>
    </w:p>
    <w:p>
      <w:r>
        <w:drawing>
          <wp:inline distT="0" distB="0" distL="114300" distR="114300">
            <wp:extent cx="6208395" cy="2108835"/>
            <wp:effectExtent l="0" t="0" r="1905" b="571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1"/>
                    <a:stretch>
                      <a:fillRect/>
                    </a:stretch>
                  </pic:blipFill>
                  <pic:spPr>
                    <a:xfrm>
                      <a:off x="0" y="0"/>
                      <a:ext cx="6208395" cy="2108835"/>
                    </a:xfrm>
                    <a:prstGeom prst="rect">
                      <a:avLst/>
                    </a:prstGeom>
                    <a:noFill/>
                    <a:ln w="9525">
                      <a:noFill/>
                    </a:ln>
                  </pic:spPr>
                </pic:pic>
              </a:graphicData>
            </a:graphic>
          </wp:inline>
        </w:drawing>
      </w:r>
    </w:p>
    <w:p>
      <w:pPr>
        <w:spacing w:after="156" w:afterLines="50"/>
        <w:rPr>
          <w:b/>
          <w:bCs/>
        </w:rPr>
      </w:pPr>
      <w:r>
        <w:rPr>
          <w:rFonts w:hint="eastAsia"/>
          <w:b/>
          <w:bCs/>
        </w:rPr>
        <w:t xml:space="preserve">Observation 1: The current </w:t>
      </w:r>
      <w:r>
        <w:rPr>
          <w:rFonts w:hint="eastAsia"/>
          <w:b/>
          <w:bCs/>
          <w:i/>
        </w:rPr>
        <w:t>reportTrigger</w:t>
      </w:r>
      <w:r>
        <w:rPr>
          <w:b/>
          <w:bCs/>
        </w:rPr>
        <w:t>,</w:t>
      </w:r>
      <w:r>
        <w:rPr>
          <w:rFonts w:hint="eastAsia"/>
          <w:b/>
          <w:bCs/>
        </w:rPr>
        <w:t xml:space="preserve"> especially </w:t>
      </w:r>
      <w:r>
        <w:rPr>
          <w:b/>
          <w:bCs/>
        </w:rPr>
        <w:t xml:space="preserve">the </w:t>
      </w:r>
      <w:r>
        <w:rPr>
          <w:rFonts w:hint="eastAsia"/>
          <w:b/>
          <w:bCs/>
        </w:rPr>
        <w:t>aperiodic type doesn</w:t>
      </w:r>
      <w:r>
        <w:rPr>
          <w:b/>
          <w:bCs/>
        </w:rPr>
        <w:t>’</w:t>
      </w:r>
      <w:r>
        <w:rPr>
          <w:rFonts w:hint="eastAsia"/>
          <w:b/>
          <w:bCs/>
        </w:rPr>
        <w:t xml:space="preserve">t reveal the intention of RAN1 properly. </w:t>
      </w:r>
    </w:p>
    <w:p>
      <w:pPr>
        <w:spacing w:after="156" w:afterLines="50"/>
        <w:rPr>
          <w:b/>
        </w:rPr>
      </w:pPr>
      <w:r>
        <w:rPr>
          <w:rFonts w:hint="eastAsia"/>
          <w:b/>
        </w:rPr>
        <w:t xml:space="preserve">Proposal 1: Revise the </w:t>
      </w:r>
      <w:r>
        <w:rPr>
          <w:rFonts w:hint="eastAsia"/>
          <w:b/>
          <w:i/>
        </w:rPr>
        <w:t>reportTrigger</w:t>
      </w:r>
      <w:r>
        <w:rPr>
          <w:b/>
          <w:bCs/>
        </w:rPr>
        <w:t>,</w:t>
      </w:r>
      <w:r>
        <w:rPr>
          <w:rFonts w:hint="eastAsia"/>
          <w:b/>
          <w:bCs/>
        </w:rPr>
        <w:t xml:space="preserve"> especially </w:t>
      </w:r>
      <w:r>
        <w:rPr>
          <w:b/>
          <w:bCs/>
        </w:rPr>
        <w:t xml:space="preserve">the </w:t>
      </w:r>
      <w:r>
        <w:rPr>
          <w:rFonts w:hint="eastAsia"/>
          <w:b/>
          <w:bCs/>
        </w:rPr>
        <w:t>aperiodic type</w:t>
      </w:r>
      <w:r>
        <w:rPr>
          <w:rFonts w:hint="eastAsia"/>
          <w:b/>
        </w:rPr>
        <w:t xml:space="preserve"> </w:t>
      </w:r>
      <w:r>
        <w:rPr>
          <w:b/>
          <w:bCs/>
        </w:rPr>
        <w:t xml:space="preserve">in ASN.1 </w:t>
      </w:r>
      <w:r>
        <w:rPr>
          <w:rFonts w:hint="eastAsia"/>
          <w:b/>
        </w:rPr>
        <w:t xml:space="preserve">to reveal the </w:t>
      </w:r>
      <w:r>
        <w:rPr>
          <w:b/>
        </w:rPr>
        <w:t>following properties from</w:t>
      </w:r>
      <w:r>
        <w:rPr>
          <w:rFonts w:hint="eastAsia"/>
          <w:b/>
        </w:rPr>
        <w:t xml:space="preserve"> RAN1</w:t>
      </w:r>
      <w:r>
        <w:rPr>
          <w:b/>
        </w:rPr>
        <w:t>:</w:t>
      </w:r>
    </w:p>
    <w:p>
      <w:pPr>
        <w:pStyle w:val="283"/>
        <w:numPr>
          <w:ilvl w:val="0"/>
          <w:numId w:val="5"/>
        </w:numPr>
        <w:spacing w:after="156" w:afterLines="50"/>
        <w:ind w:firstLineChars="0"/>
        <w:jc w:val="left"/>
        <w:rPr>
          <w:b/>
        </w:rPr>
      </w:pPr>
      <w:r>
        <w:rPr>
          <w:b/>
        </w:rPr>
        <w:softHyphen/>
      </w:r>
      <w:r>
        <w:rPr>
          <w:b/>
        </w:rPr>
        <w:t>A list of trigger states should be defined</w:t>
      </w:r>
      <w:r>
        <w:rPr>
          <w:rFonts w:hint="eastAsia"/>
          <w:b/>
        </w:rPr>
        <w:t>.</w:t>
      </w:r>
    </w:p>
    <w:p>
      <w:pPr>
        <w:pStyle w:val="283"/>
        <w:numPr>
          <w:ilvl w:val="0"/>
          <w:numId w:val="5"/>
        </w:numPr>
        <w:spacing w:after="156" w:afterLines="50"/>
        <w:ind w:firstLineChars="0"/>
        <w:jc w:val="left"/>
        <w:rPr>
          <w:b/>
        </w:rPr>
      </w:pPr>
      <w:r>
        <w:rPr>
          <w:b/>
        </w:rPr>
        <w:softHyphen/>
      </w:r>
      <w:r>
        <w:rPr>
          <w:rFonts w:hint="eastAsia"/>
          <w:b/>
        </w:rPr>
        <w:t xml:space="preserve">Each trigger state is associated with up to 16 </w:t>
      </w:r>
      <w:r>
        <w:rPr>
          <w:rFonts w:hint="eastAsia"/>
          <w:b/>
          <w:i/>
        </w:rPr>
        <w:t>CSI-ReportConfig</w:t>
      </w:r>
      <w:r>
        <w:rPr>
          <w:rFonts w:hint="eastAsia"/>
          <w:b/>
        </w:rPr>
        <w:t>.</w:t>
      </w:r>
    </w:p>
    <w:p>
      <w:pPr>
        <w:pStyle w:val="283"/>
        <w:numPr>
          <w:ilvl w:val="0"/>
          <w:numId w:val="5"/>
        </w:numPr>
        <w:spacing w:after="156" w:afterLines="50"/>
        <w:ind w:firstLineChars="0"/>
        <w:jc w:val="left"/>
        <w:rPr>
          <w:b/>
        </w:rPr>
      </w:pPr>
      <w:r>
        <w:rPr>
          <w:rFonts w:hint="eastAsia"/>
          <w:b/>
        </w:rPr>
        <w:t xml:space="preserve">Each of the </w:t>
      </w:r>
      <w:r>
        <w:rPr>
          <w:rFonts w:hint="eastAsia"/>
          <w:b/>
          <w:i/>
        </w:rPr>
        <w:t>CSI-ReportConfig</w:t>
      </w:r>
      <w:r>
        <w:rPr>
          <w:rFonts w:hint="eastAsia"/>
          <w:b/>
        </w:rPr>
        <w:t xml:space="preserve"> in the trigger state is linked to up to 3 CSI resource settings.</w:t>
      </w:r>
    </w:p>
    <w:p>
      <w:pPr>
        <w:pStyle w:val="283"/>
        <w:numPr>
          <w:ilvl w:val="0"/>
          <w:numId w:val="5"/>
        </w:numPr>
        <w:spacing w:after="156" w:afterLines="50"/>
        <w:ind w:firstLineChars="0"/>
        <w:jc w:val="left"/>
        <w:rPr>
          <w:b/>
        </w:rPr>
      </w:pPr>
      <w:r>
        <w:rPr>
          <w:rFonts w:hint="eastAsia"/>
          <w:b/>
        </w:rPr>
        <w:t xml:space="preserve">A bitmap is associated to each CSI resource setting that is linked to a </w:t>
      </w:r>
      <w:r>
        <w:rPr>
          <w:rFonts w:hint="eastAsia"/>
          <w:b/>
          <w:i/>
        </w:rPr>
        <w:t>CSI-ReportConfig</w:t>
      </w:r>
      <w:r>
        <w:rPr>
          <w:rFonts w:hint="eastAsia"/>
          <w:b/>
        </w:rPr>
        <w:t xml:space="preserve"> to select the CSI resource set(s) from the resource setting.</w:t>
      </w:r>
    </w:p>
    <w:p>
      <w:pPr>
        <w:pStyle w:val="283"/>
        <w:numPr>
          <w:ilvl w:val="0"/>
          <w:numId w:val="5"/>
        </w:numPr>
        <w:spacing w:after="156" w:afterLines="50"/>
        <w:ind w:firstLineChars="0"/>
        <w:jc w:val="left"/>
        <w:rPr>
          <w:b/>
        </w:rPr>
      </w:pPr>
      <w:r>
        <w:rPr>
          <w:rFonts w:hint="eastAsia"/>
          <w:b/>
        </w:rPr>
        <w:t xml:space="preserve">A list of references to </w:t>
      </w:r>
      <w:r>
        <w:rPr>
          <w:b/>
          <w:i/>
        </w:rPr>
        <w:t>TCI-RS-Set</w:t>
      </w:r>
      <w:r>
        <w:rPr>
          <w:rFonts w:hint="eastAsia"/>
          <w:b/>
        </w:rPr>
        <w:t xml:space="preserve"> </w:t>
      </w:r>
      <w:r>
        <w:rPr>
          <w:b/>
        </w:rPr>
        <w:t>configured</w:t>
      </w:r>
      <w:r>
        <w:rPr>
          <w:rFonts w:hint="eastAsia"/>
          <w:b/>
        </w:rPr>
        <w:t xml:space="preserve"> in </w:t>
      </w:r>
      <w:r>
        <w:rPr>
          <w:b/>
          <w:i/>
        </w:rPr>
        <w:t>tci-States</w:t>
      </w:r>
      <w:r>
        <w:rPr>
          <w:rFonts w:hint="eastAsia"/>
          <w:b/>
        </w:rPr>
        <w:t xml:space="preserve"> are provided for each selected CSI resource set to provide the QCL source and QCL type for each CSI resource within this selected resource set. </w:t>
      </w:r>
      <w:bookmarkStart w:id="9" w:name="_GoBack"/>
      <w:bookmarkEnd w:id="9"/>
    </w:p>
    <w:p>
      <w:pPr>
        <w:pStyle w:val="283"/>
        <w:numPr>
          <w:ilvl w:val="0"/>
          <w:numId w:val="5"/>
        </w:numPr>
        <w:spacing w:after="156" w:afterLines="50"/>
        <w:ind w:firstLineChars="0"/>
        <w:jc w:val="left"/>
        <w:rPr>
          <w:rFonts w:hint="eastAsia"/>
          <w:b/>
        </w:rPr>
      </w:pPr>
      <w:r>
        <w:rPr>
          <w:rFonts w:hint="eastAsia"/>
          <w:b/>
        </w:rPr>
        <w:t xml:space="preserve">An offset X is configured for each selected CSI resource set which is configured with </w:t>
      </w:r>
      <w:r>
        <w:rPr>
          <w:b/>
        </w:rPr>
        <w:t>NZP CSI-RS resources</w:t>
      </w:r>
      <w:r>
        <w:rPr>
          <w:rFonts w:hint="eastAsia"/>
          <w:b/>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w:t>
      </w:r>
      <w:r>
        <w:rPr>
          <w:rFonts w:hint="eastAsia"/>
        </w:rPr>
        <w:t xml:space="preserve">n this contribution, the </w:t>
      </w:r>
      <w:r>
        <w:t>framework</w:t>
      </w:r>
      <w:r>
        <w:rPr>
          <w:rFonts w:hint="eastAsia"/>
        </w:rPr>
        <w:t xml:space="preserve"> </w:t>
      </w:r>
      <w:r>
        <w:t>for</w:t>
      </w:r>
      <w:r>
        <w:rPr>
          <w:rFonts w:hint="eastAsia"/>
        </w:rPr>
        <w:t xml:space="preserve"> the trigger state (corresponding to the </w:t>
      </w:r>
      <w:r>
        <w:rPr>
          <w:i/>
          <w:iCs/>
        </w:rPr>
        <w:t>reportTrigger</w:t>
      </w:r>
      <w:r>
        <w:rPr>
          <w:rFonts w:hint="eastAsia"/>
          <w:i/>
          <w:iCs/>
        </w:rPr>
        <w:t xml:space="preserve"> </w:t>
      </w:r>
      <w:r>
        <w:rPr>
          <w:rFonts w:hint="eastAsia"/>
        </w:rPr>
        <w:t xml:space="preserve">in RAN2 ASN.1) in RAN1 is </w:t>
      </w:r>
      <w:r>
        <w:t>analyzed with the following observations and proposals:</w:t>
      </w:r>
    </w:p>
    <w:p>
      <w:pPr>
        <w:spacing w:after="156" w:afterLines="50"/>
        <w:rPr>
          <w:b/>
          <w:bCs/>
        </w:rPr>
      </w:pPr>
      <w:r>
        <w:rPr>
          <w:rFonts w:hint="eastAsia"/>
          <w:b/>
          <w:bCs/>
        </w:rPr>
        <w:t xml:space="preserve">Observation 1: The current reportTrigger of </w:t>
      </w:r>
      <w:r>
        <w:rPr>
          <w:b/>
          <w:bCs/>
        </w:rPr>
        <w:t xml:space="preserve">the </w:t>
      </w:r>
      <w:r>
        <w:rPr>
          <w:rFonts w:hint="eastAsia"/>
          <w:b/>
          <w:bCs/>
        </w:rPr>
        <w:t>aperiodic type doesn</w:t>
      </w:r>
      <w:r>
        <w:rPr>
          <w:b/>
          <w:bCs/>
        </w:rPr>
        <w:t>’</w:t>
      </w:r>
      <w:r>
        <w:rPr>
          <w:rFonts w:hint="eastAsia"/>
          <w:b/>
          <w:bCs/>
        </w:rPr>
        <w:t xml:space="preserve">t reveal the intention of RAN1 properly. </w:t>
      </w:r>
    </w:p>
    <w:p>
      <w:pPr>
        <w:spacing w:after="156" w:afterLines="50"/>
        <w:rPr>
          <w:b/>
        </w:rPr>
      </w:pPr>
      <w:r>
        <w:rPr>
          <w:rFonts w:hint="eastAsia"/>
          <w:b/>
        </w:rPr>
        <w:t xml:space="preserve">Proposal 1: Revise the </w:t>
      </w:r>
      <w:r>
        <w:rPr>
          <w:rFonts w:hint="eastAsia"/>
          <w:b/>
          <w:i/>
        </w:rPr>
        <w:t>reportTrigger</w:t>
      </w:r>
      <w:r>
        <w:rPr>
          <w:b/>
          <w:bCs/>
        </w:rPr>
        <w:t>,</w:t>
      </w:r>
      <w:r>
        <w:rPr>
          <w:rFonts w:hint="eastAsia"/>
          <w:b/>
          <w:bCs/>
        </w:rPr>
        <w:t xml:space="preserve"> especially </w:t>
      </w:r>
      <w:r>
        <w:rPr>
          <w:b/>
          <w:bCs/>
        </w:rPr>
        <w:t xml:space="preserve">the </w:t>
      </w:r>
      <w:r>
        <w:rPr>
          <w:rFonts w:hint="eastAsia"/>
          <w:b/>
          <w:bCs/>
        </w:rPr>
        <w:t>aperiodic type</w:t>
      </w:r>
      <w:r>
        <w:rPr>
          <w:rFonts w:hint="eastAsia"/>
          <w:b/>
        </w:rPr>
        <w:t xml:space="preserve"> </w:t>
      </w:r>
      <w:r>
        <w:rPr>
          <w:b/>
          <w:bCs/>
        </w:rPr>
        <w:t xml:space="preserve">in ASN.1 </w:t>
      </w:r>
      <w:r>
        <w:rPr>
          <w:rFonts w:hint="eastAsia"/>
          <w:b/>
        </w:rPr>
        <w:t xml:space="preserve">to reveal the </w:t>
      </w:r>
      <w:r>
        <w:rPr>
          <w:b/>
        </w:rPr>
        <w:t>following properties from</w:t>
      </w:r>
      <w:r>
        <w:rPr>
          <w:rFonts w:hint="eastAsia"/>
          <w:b/>
        </w:rPr>
        <w:t xml:space="preserve"> RAN1</w:t>
      </w:r>
      <w:r>
        <w:rPr>
          <w:b/>
        </w:rPr>
        <w:t>:</w:t>
      </w:r>
    </w:p>
    <w:p>
      <w:pPr>
        <w:pStyle w:val="283"/>
        <w:numPr>
          <w:ilvl w:val="0"/>
          <w:numId w:val="5"/>
        </w:numPr>
        <w:spacing w:after="156" w:afterLines="50"/>
        <w:ind w:firstLineChars="0"/>
        <w:jc w:val="left"/>
        <w:rPr>
          <w:b/>
        </w:rPr>
      </w:pPr>
      <w:r>
        <w:rPr>
          <w:b/>
        </w:rPr>
        <w:softHyphen/>
      </w:r>
      <w:r>
        <w:rPr>
          <w:b/>
        </w:rPr>
        <w:t>A list of trigger states should be defined</w:t>
      </w:r>
      <w:r>
        <w:rPr>
          <w:rFonts w:hint="eastAsia"/>
          <w:b/>
        </w:rPr>
        <w:t>.</w:t>
      </w:r>
    </w:p>
    <w:p>
      <w:pPr>
        <w:pStyle w:val="283"/>
        <w:numPr>
          <w:ilvl w:val="0"/>
          <w:numId w:val="5"/>
        </w:numPr>
        <w:spacing w:after="156" w:afterLines="50"/>
        <w:ind w:firstLineChars="0"/>
        <w:jc w:val="left"/>
        <w:rPr>
          <w:b/>
        </w:rPr>
      </w:pPr>
      <w:r>
        <w:rPr>
          <w:b/>
        </w:rPr>
        <w:softHyphen/>
      </w:r>
      <w:r>
        <w:rPr>
          <w:rFonts w:hint="eastAsia"/>
          <w:b/>
        </w:rPr>
        <w:t xml:space="preserve">Each trigger state is associated with up to 16 </w:t>
      </w:r>
      <w:r>
        <w:rPr>
          <w:rFonts w:hint="eastAsia"/>
          <w:b/>
          <w:i/>
        </w:rPr>
        <w:t>CSI-ReportConfig</w:t>
      </w:r>
      <w:r>
        <w:rPr>
          <w:rFonts w:hint="eastAsia"/>
          <w:b/>
        </w:rPr>
        <w:t>.</w:t>
      </w:r>
    </w:p>
    <w:p>
      <w:pPr>
        <w:pStyle w:val="283"/>
        <w:numPr>
          <w:ilvl w:val="0"/>
          <w:numId w:val="5"/>
        </w:numPr>
        <w:spacing w:after="156" w:afterLines="50"/>
        <w:ind w:firstLineChars="0"/>
        <w:jc w:val="left"/>
        <w:rPr>
          <w:b/>
        </w:rPr>
      </w:pPr>
      <w:r>
        <w:rPr>
          <w:rFonts w:hint="eastAsia"/>
          <w:b/>
        </w:rPr>
        <w:t xml:space="preserve">Each of the </w:t>
      </w:r>
      <w:r>
        <w:rPr>
          <w:rFonts w:hint="eastAsia"/>
          <w:b/>
          <w:i/>
        </w:rPr>
        <w:t>CSI-ReportConfig</w:t>
      </w:r>
      <w:r>
        <w:rPr>
          <w:rFonts w:hint="eastAsia"/>
          <w:b/>
        </w:rPr>
        <w:t xml:space="preserve"> in the trigger state is linked to up to 3 CSI resource settings.</w:t>
      </w:r>
    </w:p>
    <w:p>
      <w:pPr>
        <w:pStyle w:val="283"/>
        <w:numPr>
          <w:ilvl w:val="0"/>
          <w:numId w:val="5"/>
        </w:numPr>
        <w:spacing w:after="156" w:afterLines="50"/>
        <w:ind w:firstLineChars="0"/>
        <w:jc w:val="left"/>
        <w:rPr>
          <w:b/>
        </w:rPr>
      </w:pPr>
      <w:r>
        <w:rPr>
          <w:rFonts w:hint="eastAsia"/>
          <w:b/>
        </w:rPr>
        <w:t xml:space="preserve">A bitmap is associated to each CSI resource setting that is linked to a </w:t>
      </w:r>
      <w:r>
        <w:rPr>
          <w:rFonts w:hint="eastAsia"/>
          <w:b/>
          <w:i/>
        </w:rPr>
        <w:t>CSI-ReportConfig</w:t>
      </w:r>
      <w:r>
        <w:rPr>
          <w:rFonts w:hint="eastAsia"/>
          <w:b/>
        </w:rPr>
        <w:t xml:space="preserve"> to select the CSI resource set(s) from the resource setting.</w:t>
      </w:r>
    </w:p>
    <w:p>
      <w:pPr>
        <w:pStyle w:val="283"/>
        <w:numPr>
          <w:ilvl w:val="0"/>
          <w:numId w:val="5"/>
        </w:numPr>
        <w:spacing w:after="156" w:afterLines="50"/>
        <w:ind w:firstLineChars="0"/>
        <w:jc w:val="left"/>
        <w:rPr>
          <w:b/>
        </w:rPr>
      </w:pPr>
      <w:r>
        <w:rPr>
          <w:rFonts w:hint="eastAsia"/>
          <w:b/>
        </w:rPr>
        <w:t xml:space="preserve">A list of references to </w:t>
      </w:r>
      <w:r>
        <w:rPr>
          <w:b/>
          <w:i/>
        </w:rPr>
        <w:t>TCI-RS-Set</w:t>
      </w:r>
      <w:r>
        <w:rPr>
          <w:rFonts w:hint="eastAsia"/>
          <w:b/>
        </w:rPr>
        <w:t xml:space="preserve"> </w:t>
      </w:r>
      <w:r>
        <w:rPr>
          <w:b/>
        </w:rPr>
        <w:t>configured</w:t>
      </w:r>
      <w:r>
        <w:rPr>
          <w:rFonts w:hint="eastAsia"/>
          <w:b/>
        </w:rPr>
        <w:t xml:space="preserve"> in </w:t>
      </w:r>
      <w:r>
        <w:rPr>
          <w:b/>
          <w:i/>
        </w:rPr>
        <w:t>tci-States</w:t>
      </w:r>
      <w:r>
        <w:rPr>
          <w:rFonts w:hint="eastAsia"/>
          <w:b/>
        </w:rPr>
        <w:t xml:space="preserve"> are provided for each selected CSI resource set to provide the QCL source and QCL type for each CSI resource within this selected resource set. </w:t>
      </w:r>
    </w:p>
    <w:p>
      <w:pPr>
        <w:pStyle w:val="283"/>
        <w:numPr>
          <w:ilvl w:val="0"/>
          <w:numId w:val="5"/>
        </w:numPr>
        <w:spacing w:after="156" w:afterLines="50"/>
        <w:ind w:firstLineChars="0"/>
        <w:jc w:val="left"/>
        <w:rPr>
          <w:rFonts w:hint="eastAsia"/>
          <w:b/>
        </w:rPr>
      </w:pPr>
      <w:r>
        <w:rPr>
          <w:rFonts w:hint="eastAsia"/>
          <w:b/>
        </w:rPr>
        <w:t xml:space="preserve">An offset X is configured for each selected CSI resource set which is configured with </w:t>
      </w:r>
      <w:r>
        <w:rPr>
          <w:b/>
        </w:rPr>
        <w:t>NZP CSI-RS resources</w:t>
      </w:r>
      <w:r>
        <w:rPr>
          <w:rFonts w:hint="eastAsia"/>
          <w:b/>
        </w:rPr>
        <w:t>.</w:t>
      </w:r>
    </w:p>
    <w:p>
      <w:pPr>
        <w:spacing w:after="156" w:afterLines="50"/>
        <w:rPr>
          <w:b/>
          <w:bCs/>
        </w:rPr>
      </w:pPr>
    </w:p>
    <w:p>
      <w:pPr>
        <w:spacing w:after="156" w:afterLines="50"/>
        <w:rPr>
          <w:rFonts w:hint="eastAsia"/>
        </w:rPr>
      </w:pPr>
      <w:r>
        <w:t xml:space="preserve">A corresponding pCR can be found in our corresponding contribution </w:t>
      </w:r>
      <w:r>
        <w:fldChar w:fldCharType="begin"/>
      </w:r>
      <w:r>
        <w:instrText xml:space="preserve"> REF _Ref503557482 \n \h  \* MERGEFORMAT </w:instrText>
      </w:r>
      <w:r>
        <w:fldChar w:fldCharType="separate"/>
      </w:r>
      <w:r>
        <w:t>[3]</w:t>
      </w:r>
      <w:r>
        <w:fldChar w:fldCharType="end"/>
      </w:r>
      <w:r>
        <w:t>.</w:t>
      </w:r>
      <w:r>
        <w:rPr>
          <w:rFonts w:hint="eastAsia"/>
          <w:lang w:val="en-US" w:eastAsia="zh-CN"/>
        </w:rPr>
        <w:t xml:space="preserve"> Two possible approaches are provided in the pCR.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7"/>
        <w:numPr>
          <w:ilvl w:val="0"/>
          <w:numId w:val="6"/>
        </w:numPr>
        <w:ind w:firstLineChars="0"/>
      </w:pPr>
      <w:bookmarkStart w:id="5" w:name="_Ref1701"/>
      <w:bookmarkStart w:id="6" w:name="_Ref12788"/>
      <w:r>
        <w:rPr>
          <w:rFonts w:hint="eastAsia"/>
        </w:rPr>
        <w:t>3</w:t>
      </w:r>
      <w:bookmarkEnd w:id="5"/>
      <w:r>
        <w:rPr>
          <w:rFonts w:hint="eastAsia"/>
        </w:rPr>
        <w:t>8.331 v1.0.1</w:t>
      </w:r>
      <w:bookmarkEnd w:id="6"/>
    </w:p>
    <w:p>
      <w:pPr>
        <w:pStyle w:val="67"/>
        <w:numPr>
          <w:ilvl w:val="0"/>
          <w:numId w:val="6"/>
        </w:numPr>
        <w:ind w:firstLineChars="0"/>
      </w:pPr>
      <w:bookmarkStart w:id="7" w:name="_Ref12791"/>
      <w:r>
        <w:t>R1-1721581</w:t>
      </w:r>
      <w:bookmarkEnd w:id="7"/>
    </w:p>
    <w:p>
      <w:pPr>
        <w:pStyle w:val="67"/>
        <w:numPr>
          <w:ilvl w:val="0"/>
          <w:numId w:val="6"/>
        </w:numPr>
        <w:ind w:firstLineChars="0"/>
      </w:pPr>
      <w:bookmarkStart w:id="8" w:name="_Ref503557482"/>
      <w:r>
        <w:t>R2-1800440 pCR for the configuration of reportTrigger  in CSI-MeasConfig (RILNo Z019)</w:t>
      </w:r>
      <w:bookmarkEnd w:id="8"/>
    </w:p>
    <w:p>
      <w:pPr>
        <w:rPr>
          <w:highlight w:val="yellow"/>
        </w:rPr>
      </w:pPr>
    </w:p>
    <w:p>
      <w:pPr>
        <w:pStyle w:val="88"/>
      </w:pPr>
    </w:p>
    <w:p>
      <w:pPr>
        <w:rPr>
          <w:highlight w:val="yellow"/>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舒体">
    <w:panose1 w:val="02010601030101010101"/>
    <w:charset w:val="86"/>
    <w:family w:val="auto"/>
    <w:pitch w:val="default"/>
    <w:sig w:usb0="00000003"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4EE10F8"/>
    <w:multiLevelType w:val="multilevel"/>
    <w:tmpl w:val="14EE10F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1A9A2B6A"/>
    <w:multiLevelType w:val="multilevel"/>
    <w:tmpl w:val="1A9A2B6A"/>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A58B0FF"/>
    <w:multiLevelType w:val="singleLevel"/>
    <w:tmpl w:val="5A58B0FF"/>
    <w:lvl w:ilvl="0" w:tentative="0">
      <w:start w:val="1"/>
      <w:numFmt w:val="decimal"/>
      <w:suff w:val="nothing"/>
      <w:lvlText w:val="%1)"/>
      <w:lvlJc w:val="left"/>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9E8"/>
    <w:rsid w:val="00013FAD"/>
    <w:rsid w:val="00016FE3"/>
    <w:rsid w:val="000172F4"/>
    <w:rsid w:val="00017BA5"/>
    <w:rsid w:val="00021259"/>
    <w:rsid w:val="00021359"/>
    <w:rsid w:val="000248FC"/>
    <w:rsid w:val="0002660A"/>
    <w:rsid w:val="00026899"/>
    <w:rsid w:val="0002698B"/>
    <w:rsid w:val="00030891"/>
    <w:rsid w:val="00035EF9"/>
    <w:rsid w:val="00037973"/>
    <w:rsid w:val="00040A63"/>
    <w:rsid w:val="0004105F"/>
    <w:rsid w:val="00042E6F"/>
    <w:rsid w:val="00043923"/>
    <w:rsid w:val="000563ED"/>
    <w:rsid w:val="000569AB"/>
    <w:rsid w:val="0007093A"/>
    <w:rsid w:val="0007205B"/>
    <w:rsid w:val="0007248D"/>
    <w:rsid w:val="000755A8"/>
    <w:rsid w:val="00076B12"/>
    <w:rsid w:val="000803CC"/>
    <w:rsid w:val="000804D4"/>
    <w:rsid w:val="0008122E"/>
    <w:rsid w:val="00082CAA"/>
    <w:rsid w:val="00084609"/>
    <w:rsid w:val="000851D1"/>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49"/>
    <w:rsid w:val="001147C0"/>
    <w:rsid w:val="001253A3"/>
    <w:rsid w:val="00126145"/>
    <w:rsid w:val="0012673B"/>
    <w:rsid w:val="001277F8"/>
    <w:rsid w:val="00131E4E"/>
    <w:rsid w:val="00131F75"/>
    <w:rsid w:val="0013288E"/>
    <w:rsid w:val="00134275"/>
    <w:rsid w:val="00137B0E"/>
    <w:rsid w:val="00137D4E"/>
    <w:rsid w:val="001413B6"/>
    <w:rsid w:val="00141835"/>
    <w:rsid w:val="00144C92"/>
    <w:rsid w:val="00145AFF"/>
    <w:rsid w:val="00147740"/>
    <w:rsid w:val="00150BAB"/>
    <w:rsid w:val="00153B68"/>
    <w:rsid w:val="00156FCB"/>
    <w:rsid w:val="001601B5"/>
    <w:rsid w:val="00160A40"/>
    <w:rsid w:val="001627D9"/>
    <w:rsid w:val="00171FF9"/>
    <w:rsid w:val="0017245C"/>
    <w:rsid w:val="00175874"/>
    <w:rsid w:val="001767E6"/>
    <w:rsid w:val="00176AC2"/>
    <w:rsid w:val="001802FB"/>
    <w:rsid w:val="001806A8"/>
    <w:rsid w:val="00180983"/>
    <w:rsid w:val="0018310D"/>
    <w:rsid w:val="00183AB9"/>
    <w:rsid w:val="00187FEF"/>
    <w:rsid w:val="00190A8D"/>
    <w:rsid w:val="001917BC"/>
    <w:rsid w:val="001918A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DF5"/>
    <w:rsid w:val="001F4346"/>
    <w:rsid w:val="001F7FD8"/>
    <w:rsid w:val="00200DAA"/>
    <w:rsid w:val="00201FFE"/>
    <w:rsid w:val="00202C4B"/>
    <w:rsid w:val="00205CC0"/>
    <w:rsid w:val="00206380"/>
    <w:rsid w:val="00212EB1"/>
    <w:rsid w:val="00214310"/>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2D3"/>
    <w:rsid w:val="00252B94"/>
    <w:rsid w:val="00255E19"/>
    <w:rsid w:val="00256C2E"/>
    <w:rsid w:val="00257233"/>
    <w:rsid w:val="00260716"/>
    <w:rsid w:val="0026193E"/>
    <w:rsid w:val="00261A9C"/>
    <w:rsid w:val="00262518"/>
    <w:rsid w:val="00270A1C"/>
    <w:rsid w:val="00271ED8"/>
    <w:rsid w:val="002730ED"/>
    <w:rsid w:val="00275699"/>
    <w:rsid w:val="00280BDD"/>
    <w:rsid w:val="00281718"/>
    <w:rsid w:val="002855D0"/>
    <w:rsid w:val="00286245"/>
    <w:rsid w:val="00290E18"/>
    <w:rsid w:val="00291D54"/>
    <w:rsid w:val="00297A88"/>
    <w:rsid w:val="002B22C6"/>
    <w:rsid w:val="002B24A3"/>
    <w:rsid w:val="002B2BBC"/>
    <w:rsid w:val="002B351B"/>
    <w:rsid w:val="002B3C48"/>
    <w:rsid w:val="002B3D8F"/>
    <w:rsid w:val="002B434C"/>
    <w:rsid w:val="002B4F1D"/>
    <w:rsid w:val="002C0864"/>
    <w:rsid w:val="002C0F12"/>
    <w:rsid w:val="002C21BD"/>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76056"/>
    <w:rsid w:val="00382FAE"/>
    <w:rsid w:val="003832DC"/>
    <w:rsid w:val="00384541"/>
    <w:rsid w:val="00385C87"/>
    <w:rsid w:val="00387F14"/>
    <w:rsid w:val="00391402"/>
    <w:rsid w:val="003918B0"/>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43C1"/>
    <w:rsid w:val="003D7765"/>
    <w:rsid w:val="003E1518"/>
    <w:rsid w:val="003E2DCD"/>
    <w:rsid w:val="003E42F6"/>
    <w:rsid w:val="003E48E7"/>
    <w:rsid w:val="003E7C95"/>
    <w:rsid w:val="003E7D68"/>
    <w:rsid w:val="003F1437"/>
    <w:rsid w:val="003F448B"/>
    <w:rsid w:val="003F58F6"/>
    <w:rsid w:val="003F6316"/>
    <w:rsid w:val="00401149"/>
    <w:rsid w:val="00402720"/>
    <w:rsid w:val="00402985"/>
    <w:rsid w:val="0040349D"/>
    <w:rsid w:val="00406113"/>
    <w:rsid w:val="00406593"/>
    <w:rsid w:val="004069B2"/>
    <w:rsid w:val="00410408"/>
    <w:rsid w:val="004104A6"/>
    <w:rsid w:val="00411066"/>
    <w:rsid w:val="00413229"/>
    <w:rsid w:val="00420234"/>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4F58"/>
    <w:rsid w:val="00456668"/>
    <w:rsid w:val="0046088D"/>
    <w:rsid w:val="00460FF4"/>
    <w:rsid w:val="00462F02"/>
    <w:rsid w:val="00465B4B"/>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092C"/>
    <w:rsid w:val="004A2687"/>
    <w:rsid w:val="004A402F"/>
    <w:rsid w:val="004A5D00"/>
    <w:rsid w:val="004B2B05"/>
    <w:rsid w:val="004B2BBA"/>
    <w:rsid w:val="004B2CE0"/>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48BE"/>
    <w:rsid w:val="0050619E"/>
    <w:rsid w:val="005069E2"/>
    <w:rsid w:val="00506B0D"/>
    <w:rsid w:val="00506BCB"/>
    <w:rsid w:val="0051029C"/>
    <w:rsid w:val="005146EB"/>
    <w:rsid w:val="00514EAD"/>
    <w:rsid w:val="005214BE"/>
    <w:rsid w:val="005219AA"/>
    <w:rsid w:val="00522736"/>
    <w:rsid w:val="00525585"/>
    <w:rsid w:val="00525D1A"/>
    <w:rsid w:val="0052657B"/>
    <w:rsid w:val="005305FA"/>
    <w:rsid w:val="00534869"/>
    <w:rsid w:val="00536465"/>
    <w:rsid w:val="005371D2"/>
    <w:rsid w:val="00537528"/>
    <w:rsid w:val="0054059E"/>
    <w:rsid w:val="00542ED7"/>
    <w:rsid w:val="00545A76"/>
    <w:rsid w:val="00545F9C"/>
    <w:rsid w:val="005506C7"/>
    <w:rsid w:val="005514AA"/>
    <w:rsid w:val="00555F35"/>
    <w:rsid w:val="0055689F"/>
    <w:rsid w:val="00556BC1"/>
    <w:rsid w:val="005602A0"/>
    <w:rsid w:val="00561349"/>
    <w:rsid w:val="00565363"/>
    <w:rsid w:val="005657FC"/>
    <w:rsid w:val="00567054"/>
    <w:rsid w:val="00567A9A"/>
    <w:rsid w:val="00570FEC"/>
    <w:rsid w:val="00571A8C"/>
    <w:rsid w:val="00572AC4"/>
    <w:rsid w:val="0057377D"/>
    <w:rsid w:val="005842C1"/>
    <w:rsid w:val="0058500E"/>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1177"/>
    <w:rsid w:val="00663F12"/>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A6C51"/>
    <w:rsid w:val="006B0BCD"/>
    <w:rsid w:val="006B0CBE"/>
    <w:rsid w:val="006B1969"/>
    <w:rsid w:val="006B2F1E"/>
    <w:rsid w:val="006B3DD7"/>
    <w:rsid w:val="006B48F1"/>
    <w:rsid w:val="006B4C14"/>
    <w:rsid w:val="006B7C72"/>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0A3"/>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2E84"/>
    <w:rsid w:val="00793203"/>
    <w:rsid w:val="00795931"/>
    <w:rsid w:val="00796A2A"/>
    <w:rsid w:val="007A053E"/>
    <w:rsid w:val="007A2A69"/>
    <w:rsid w:val="007A6821"/>
    <w:rsid w:val="007B055F"/>
    <w:rsid w:val="007B0BAC"/>
    <w:rsid w:val="007B3EE9"/>
    <w:rsid w:val="007B4B41"/>
    <w:rsid w:val="007B6028"/>
    <w:rsid w:val="007C0BA7"/>
    <w:rsid w:val="007C0C84"/>
    <w:rsid w:val="007C2A0A"/>
    <w:rsid w:val="007C33E4"/>
    <w:rsid w:val="007C41B3"/>
    <w:rsid w:val="007C44F4"/>
    <w:rsid w:val="007C77D5"/>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C7BCB"/>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058DF"/>
    <w:rsid w:val="0091196A"/>
    <w:rsid w:val="00911DC9"/>
    <w:rsid w:val="00911DE4"/>
    <w:rsid w:val="009123FF"/>
    <w:rsid w:val="009137D1"/>
    <w:rsid w:val="009164CD"/>
    <w:rsid w:val="00917271"/>
    <w:rsid w:val="00922A9F"/>
    <w:rsid w:val="00923C59"/>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718E"/>
    <w:rsid w:val="009800B6"/>
    <w:rsid w:val="00980E2B"/>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2A66"/>
    <w:rsid w:val="009C3006"/>
    <w:rsid w:val="009D159F"/>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00C0"/>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075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240"/>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CA2"/>
    <w:rsid w:val="00B454AE"/>
    <w:rsid w:val="00B5038B"/>
    <w:rsid w:val="00B52464"/>
    <w:rsid w:val="00B55CF3"/>
    <w:rsid w:val="00B6461C"/>
    <w:rsid w:val="00B670CE"/>
    <w:rsid w:val="00B67B79"/>
    <w:rsid w:val="00B67E74"/>
    <w:rsid w:val="00B7195D"/>
    <w:rsid w:val="00B82234"/>
    <w:rsid w:val="00B8283E"/>
    <w:rsid w:val="00B837AA"/>
    <w:rsid w:val="00B87D03"/>
    <w:rsid w:val="00B909E8"/>
    <w:rsid w:val="00B928EE"/>
    <w:rsid w:val="00B92AD5"/>
    <w:rsid w:val="00B94BA4"/>
    <w:rsid w:val="00B97DB5"/>
    <w:rsid w:val="00BA11AD"/>
    <w:rsid w:val="00BA1E26"/>
    <w:rsid w:val="00BA2E0A"/>
    <w:rsid w:val="00BA69FF"/>
    <w:rsid w:val="00BB156E"/>
    <w:rsid w:val="00BB3ABA"/>
    <w:rsid w:val="00BB4FEC"/>
    <w:rsid w:val="00BB65B1"/>
    <w:rsid w:val="00BB69D5"/>
    <w:rsid w:val="00BC03E1"/>
    <w:rsid w:val="00BC459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0761C"/>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77EF8"/>
    <w:rsid w:val="00C8086B"/>
    <w:rsid w:val="00C80B6E"/>
    <w:rsid w:val="00C82D97"/>
    <w:rsid w:val="00C84D14"/>
    <w:rsid w:val="00C86541"/>
    <w:rsid w:val="00C91A57"/>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33D02"/>
    <w:rsid w:val="00D402A6"/>
    <w:rsid w:val="00D41A51"/>
    <w:rsid w:val="00D42DFD"/>
    <w:rsid w:val="00D45E14"/>
    <w:rsid w:val="00D4755C"/>
    <w:rsid w:val="00D52834"/>
    <w:rsid w:val="00D53DA7"/>
    <w:rsid w:val="00D544FE"/>
    <w:rsid w:val="00D5596F"/>
    <w:rsid w:val="00D56F3F"/>
    <w:rsid w:val="00D576EB"/>
    <w:rsid w:val="00D61F13"/>
    <w:rsid w:val="00D62082"/>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5E19"/>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100B"/>
    <w:rsid w:val="00DD42F9"/>
    <w:rsid w:val="00DE1B4A"/>
    <w:rsid w:val="00DE2CFF"/>
    <w:rsid w:val="00DE3330"/>
    <w:rsid w:val="00DE5939"/>
    <w:rsid w:val="00DF1482"/>
    <w:rsid w:val="00DF4CBC"/>
    <w:rsid w:val="00DF5370"/>
    <w:rsid w:val="00E0032E"/>
    <w:rsid w:val="00E0205D"/>
    <w:rsid w:val="00E02703"/>
    <w:rsid w:val="00E1018A"/>
    <w:rsid w:val="00E11445"/>
    <w:rsid w:val="00E120F4"/>
    <w:rsid w:val="00E153F6"/>
    <w:rsid w:val="00E15F7E"/>
    <w:rsid w:val="00E173DF"/>
    <w:rsid w:val="00E20BED"/>
    <w:rsid w:val="00E229A2"/>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2691"/>
    <w:rsid w:val="00EB3E2D"/>
    <w:rsid w:val="00EB4324"/>
    <w:rsid w:val="00EB6B41"/>
    <w:rsid w:val="00EB7BCB"/>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45C"/>
    <w:rsid w:val="00EF4AE0"/>
    <w:rsid w:val="00EF6FA1"/>
    <w:rsid w:val="00F008C4"/>
    <w:rsid w:val="00F012FF"/>
    <w:rsid w:val="00F01A21"/>
    <w:rsid w:val="00F046E9"/>
    <w:rsid w:val="00F04831"/>
    <w:rsid w:val="00F12DA8"/>
    <w:rsid w:val="00F1322B"/>
    <w:rsid w:val="00F13699"/>
    <w:rsid w:val="00F22B1E"/>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27C9"/>
    <w:rsid w:val="00FA34B5"/>
    <w:rsid w:val="00FB0158"/>
    <w:rsid w:val="00FB16BC"/>
    <w:rsid w:val="00FB25A0"/>
    <w:rsid w:val="00FB2D7C"/>
    <w:rsid w:val="00FB4258"/>
    <w:rsid w:val="00FB4F37"/>
    <w:rsid w:val="00FB79F1"/>
    <w:rsid w:val="00FB7E5A"/>
    <w:rsid w:val="00FC0927"/>
    <w:rsid w:val="00FC14E6"/>
    <w:rsid w:val="00FC6E54"/>
    <w:rsid w:val="00FD08AF"/>
    <w:rsid w:val="00FD33A2"/>
    <w:rsid w:val="00FD3E74"/>
    <w:rsid w:val="00FD6206"/>
    <w:rsid w:val="00FE09E7"/>
    <w:rsid w:val="00FE2161"/>
    <w:rsid w:val="00FE58B6"/>
    <w:rsid w:val="00FE7430"/>
    <w:rsid w:val="00FF0471"/>
    <w:rsid w:val="00FF0AAD"/>
    <w:rsid w:val="00FF29CE"/>
    <w:rsid w:val="00FF2E7C"/>
    <w:rsid w:val="00FF2EAF"/>
    <w:rsid w:val="00FF33F4"/>
    <w:rsid w:val="011F79D3"/>
    <w:rsid w:val="01767489"/>
    <w:rsid w:val="01B43EE4"/>
    <w:rsid w:val="024A1AA8"/>
    <w:rsid w:val="037E763C"/>
    <w:rsid w:val="03EA36D0"/>
    <w:rsid w:val="03FC1768"/>
    <w:rsid w:val="04D30EFA"/>
    <w:rsid w:val="06406186"/>
    <w:rsid w:val="0695770F"/>
    <w:rsid w:val="07387A0E"/>
    <w:rsid w:val="07C84D70"/>
    <w:rsid w:val="08086B0C"/>
    <w:rsid w:val="08761556"/>
    <w:rsid w:val="08DC1A4B"/>
    <w:rsid w:val="097D6A48"/>
    <w:rsid w:val="098246C4"/>
    <w:rsid w:val="09C1228B"/>
    <w:rsid w:val="0A400238"/>
    <w:rsid w:val="0A575FCA"/>
    <w:rsid w:val="0A601B8E"/>
    <w:rsid w:val="0AC01C77"/>
    <w:rsid w:val="0AF957A7"/>
    <w:rsid w:val="0C873475"/>
    <w:rsid w:val="0C910A8D"/>
    <w:rsid w:val="0E28192B"/>
    <w:rsid w:val="0E5A4548"/>
    <w:rsid w:val="0E8D03D6"/>
    <w:rsid w:val="0E930DC4"/>
    <w:rsid w:val="0F03352D"/>
    <w:rsid w:val="0F231389"/>
    <w:rsid w:val="10870262"/>
    <w:rsid w:val="10A0591C"/>
    <w:rsid w:val="134E5F05"/>
    <w:rsid w:val="14100D59"/>
    <w:rsid w:val="142F008D"/>
    <w:rsid w:val="14D25B3A"/>
    <w:rsid w:val="15397FB6"/>
    <w:rsid w:val="155810A4"/>
    <w:rsid w:val="15CB2300"/>
    <w:rsid w:val="16501B57"/>
    <w:rsid w:val="17275E00"/>
    <w:rsid w:val="178D7F71"/>
    <w:rsid w:val="179F1C32"/>
    <w:rsid w:val="187A6E3F"/>
    <w:rsid w:val="194E303D"/>
    <w:rsid w:val="1A202566"/>
    <w:rsid w:val="1A884612"/>
    <w:rsid w:val="1AA1145C"/>
    <w:rsid w:val="1AAC4FDC"/>
    <w:rsid w:val="1B8A2061"/>
    <w:rsid w:val="1C1704E3"/>
    <w:rsid w:val="1C1870F8"/>
    <w:rsid w:val="1CAF18A4"/>
    <w:rsid w:val="1CC400CD"/>
    <w:rsid w:val="1D8A677C"/>
    <w:rsid w:val="1DB158ED"/>
    <w:rsid w:val="1DCC34E5"/>
    <w:rsid w:val="1F1B4D99"/>
    <w:rsid w:val="204A3E68"/>
    <w:rsid w:val="20577738"/>
    <w:rsid w:val="21325170"/>
    <w:rsid w:val="22B51CBF"/>
    <w:rsid w:val="22C54E5E"/>
    <w:rsid w:val="23001A71"/>
    <w:rsid w:val="23CB104F"/>
    <w:rsid w:val="241400AC"/>
    <w:rsid w:val="253659A1"/>
    <w:rsid w:val="2538711B"/>
    <w:rsid w:val="25B10CCB"/>
    <w:rsid w:val="260C58C5"/>
    <w:rsid w:val="26871BB0"/>
    <w:rsid w:val="27326E8F"/>
    <w:rsid w:val="2776137B"/>
    <w:rsid w:val="27822FF7"/>
    <w:rsid w:val="279D04C2"/>
    <w:rsid w:val="27E951EF"/>
    <w:rsid w:val="28E80D92"/>
    <w:rsid w:val="29B21013"/>
    <w:rsid w:val="2A664904"/>
    <w:rsid w:val="2A6C0C25"/>
    <w:rsid w:val="2AA16B48"/>
    <w:rsid w:val="2B967809"/>
    <w:rsid w:val="2BBB00F5"/>
    <w:rsid w:val="2C3B1F03"/>
    <w:rsid w:val="2D381B6C"/>
    <w:rsid w:val="2D577C10"/>
    <w:rsid w:val="2D927047"/>
    <w:rsid w:val="2DF13CA0"/>
    <w:rsid w:val="2E546262"/>
    <w:rsid w:val="2E5555D8"/>
    <w:rsid w:val="2F3F322C"/>
    <w:rsid w:val="2FB72915"/>
    <w:rsid w:val="31EC1AA4"/>
    <w:rsid w:val="325C2D76"/>
    <w:rsid w:val="32C246E2"/>
    <w:rsid w:val="33175BB0"/>
    <w:rsid w:val="331C77BF"/>
    <w:rsid w:val="33236CA0"/>
    <w:rsid w:val="33FC6D82"/>
    <w:rsid w:val="340925AB"/>
    <w:rsid w:val="342662A7"/>
    <w:rsid w:val="346B4AFF"/>
    <w:rsid w:val="34802039"/>
    <w:rsid w:val="351E408A"/>
    <w:rsid w:val="356A5601"/>
    <w:rsid w:val="364F2F2D"/>
    <w:rsid w:val="366B0451"/>
    <w:rsid w:val="368E6178"/>
    <w:rsid w:val="3764454B"/>
    <w:rsid w:val="379C2CC8"/>
    <w:rsid w:val="3858063B"/>
    <w:rsid w:val="38B0442B"/>
    <w:rsid w:val="3957061E"/>
    <w:rsid w:val="39AA29DA"/>
    <w:rsid w:val="3B2105C0"/>
    <w:rsid w:val="3B376B82"/>
    <w:rsid w:val="3B9C51AC"/>
    <w:rsid w:val="3C5D698E"/>
    <w:rsid w:val="3D3E417E"/>
    <w:rsid w:val="3E1516FD"/>
    <w:rsid w:val="3F322E39"/>
    <w:rsid w:val="3FA83067"/>
    <w:rsid w:val="3FEE7226"/>
    <w:rsid w:val="3FF60A01"/>
    <w:rsid w:val="41482345"/>
    <w:rsid w:val="42A04A45"/>
    <w:rsid w:val="42FF7A51"/>
    <w:rsid w:val="4315207F"/>
    <w:rsid w:val="43606EE8"/>
    <w:rsid w:val="43AB0062"/>
    <w:rsid w:val="43F83BF8"/>
    <w:rsid w:val="44387B6B"/>
    <w:rsid w:val="449A7A01"/>
    <w:rsid w:val="44C70D28"/>
    <w:rsid w:val="44E43637"/>
    <w:rsid w:val="451B643C"/>
    <w:rsid w:val="45D077D4"/>
    <w:rsid w:val="463F6A7E"/>
    <w:rsid w:val="46FD6A52"/>
    <w:rsid w:val="47A20DA5"/>
    <w:rsid w:val="4882531D"/>
    <w:rsid w:val="48F15DFA"/>
    <w:rsid w:val="49075A22"/>
    <w:rsid w:val="491D3041"/>
    <w:rsid w:val="492C6E96"/>
    <w:rsid w:val="498A1615"/>
    <w:rsid w:val="4A8B4C85"/>
    <w:rsid w:val="4A9F0406"/>
    <w:rsid w:val="4AF733EF"/>
    <w:rsid w:val="4B5A73D8"/>
    <w:rsid w:val="4BB71802"/>
    <w:rsid w:val="4C2A496F"/>
    <w:rsid w:val="4C9E2887"/>
    <w:rsid w:val="4CE61A96"/>
    <w:rsid w:val="4CF76CE2"/>
    <w:rsid w:val="4DD05DBB"/>
    <w:rsid w:val="4EC84A0C"/>
    <w:rsid w:val="4F024203"/>
    <w:rsid w:val="4FDC074D"/>
    <w:rsid w:val="503839AD"/>
    <w:rsid w:val="50C46433"/>
    <w:rsid w:val="50D3798B"/>
    <w:rsid w:val="50FF2BF6"/>
    <w:rsid w:val="51887C28"/>
    <w:rsid w:val="51B33439"/>
    <w:rsid w:val="52473222"/>
    <w:rsid w:val="524C1ED0"/>
    <w:rsid w:val="5347639A"/>
    <w:rsid w:val="53C548B5"/>
    <w:rsid w:val="540D2DB1"/>
    <w:rsid w:val="54C602BB"/>
    <w:rsid w:val="54CF76BE"/>
    <w:rsid w:val="552A4A83"/>
    <w:rsid w:val="558F42FA"/>
    <w:rsid w:val="55925632"/>
    <w:rsid w:val="55980D71"/>
    <w:rsid w:val="55B1316F"/>
    <w:rsid w:val="56674043"/>
    <w:rsid w:val="57861703"/>
    <w:rsid w:val="579913F8"/>
    <w:rsid w:val="57D81BD3"/>
    <w:rsid w:val="57F86A47"/>
    <w:rsid w:val="586C1559"/>
    <w:rsid w:val="597D795D"/>
    <w:rsid w:val="5A082B87"/>
    <w:rsid w:val="5AB65619"/>
    <w:rsid w:val="5AF04888"/>
    <w:rsid w:val="5B135903"/>
    <w:rsid w:val="5B2F2A26"/>
    <w:rsid w:val="5B506AC3"/>
    <w:rsid w:val="5C3D01F5"/>
    <w:rsid w:val="5C4977AF"/>
    <w:rsid w:val="5CA7782A"/>
    <w:rsid w:val="5CCC2C10"/>
    <w:rsid w:val="5CED4E5B"/>
    <w:rsid w:val="5D155469"/>
    <w:rsid w:val="5D1B79E4"/>
    <w:rsid w:val="5D491688"/>
    <w:rsid w:val="5D84494D"/>
    <w:rsid w:val="5DF61DB6"/>
    <w:rsid w:val="5F2E502C"/>
    <w:rsid w:val="5FA110C5"/>
    <w:rsid w:val="5FB31B2B"/>
    <w:rsid w:val="603D0FAB"/>
    <w:rsid w:val="604D59E9"/>
    <w:rsid w:val="61E904A4"/>
    <w:rsid w:val="622100B9"/>
    <w:rsid w:val="62653E70"/>
    <w:rsid w:val="62990512"/>
    <w:rsid w:val="63CA29B9"/>
    <w:rsid w:val="64307255"/>
    <w:rsid w:val="64412FC5"/>
    <w:rsid w:val="645D0341"/>
    <w:rsid w:val="650E1376"/>
    <w:rsid w:val="65844C10"/>
    <w:rsid w:val="65D64905"/>
    <w:rsid w:val="6623638E"/>
    <w:rsid w:val="66C6028C"/>
    <w:rsid w:val="673C0DF6"/>
    <w:rsid w:val="675B6F05"/>
    <w:rsid w:val="67F8136D"/>
    <w:rsid w:val="68182340"/>
    <w:rsid w:val="6959612F"/>
    <w:rsid w:val="69797C2C"/>
    <w:rsid w:val="69C5778C"/>
    <w:rsid w:val="69F86D02"/>
    <w:rsid w:val="6A751B73"/>
    <w:rsid w:val="6A934155"/>
    <w:rsid w:val="6AEA7612"/>
    <w:rsid w:val="6B4C5F2C"/>
    <w:rsid w:val="6B8019CD"/>
    <w:rsid w:val="6C404FA0"/>
    <w:rsid w:val="6CE97F64"/>
    <w:rsid w:val="6E145A7C"/>
    <w:rsid w:val="6E6A4764"/>
    <w:rsid w:val="6EF76E3B"/>
    <w:rsid w:val="6F9D00F4"/>
    <w:rsid w:val="70D55D00"/>
    <w:rsid w:val="71EE2462"/>
    <w:rsid w:val="72034FA1"/>
    <w:rsid w:val="72317074"/>
    <w:rsid w:val="73F92E98"/>
    <w:rsid w:val="7524515F"/>
    <w:rsid w:val="759E4EA7"/>
    <w:rsid w:val="75CC5969"/>
    <w:rsid w:val="770075D5"/>
    <w:rsid w:val="774E2BAC"/>
    <w:rsid w:val="77837BFC"/>
    <w:rsid w:val="77872A68"/>
    <w:rsid w:val="78746FCE"/>
    <w:rsid w:val="78981E14"/>
    <w:rsid w:val="7A2F0FE2"/>
    <w:rsid w:val="7A7F7947"/>
    <w:rsid w:val="7AD7598A"/>
    <w:rsid w:val="7B4E7A07"/>
    <w:rsid w:val="7BCF3349"/>
    <w:rsid w:val="7CF5417D"/>
    <w:rsid w:val="7D226635"/>
    <w:rsid w:val="7F4D302D"/>
    <w:rsid w:val="7F9075B7"/>
    <w:rsid w:val="7FEF3D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1"/>
    <w:next w:val="1"/>
    <w:link w:val="71"/>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unhideWhenUsed/>
    <w:qFormat/>
    <w:uiPriority w:val="1"/>
  </w:style>
  <w:style w:type="table" w:default="1" w:styleId="64">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after="160"/>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Lines="100"/>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Lines="50"/>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after="160"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89">
    <w:name w:val="标准书眉一"/>
    <w:qFormat/>
    <w:uiPriority w:val="0"/>
    <w:pPr>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Lines="50"/>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table" w:customStyle="1" w:styleId="280">
    <w:name w:val="Table Normal1"/>
    <w:basedOn w:val="64"/>
    <w:semiHidden/>
    <w:qFormat/>
    <w:uiPriority w:val="0"/>
    <w:rPr>
      <w:rFonts w:ascii="Times New Roman" w:hAnsi="Times New Roman"/>
    </w:rPr>
    <w:tblPr>
      <w:tblLayout w:type="fixed"/>
      <w:tblCellMar>
        <w:top w:w="0" w:type="dxa"/>
        <w:left w:w="108" w:type="dxa"/>
        <w:bottom w:w="0" w:type="dxa"/>
        <w:right w:w="108" w:type="dxa"/>
      </w:tblCellMar>
    </w:tblPr>
  </w:style>
  <w:style w:type="character" w:customStyle="1" w:styleId="281">
    <w:name w:val="font51"/>
    <w:basedOn w:val="56"/>
    <w:qFormat/>
    <w:uiPriority w:val="0"/>
    <w:rPr>
      <w:rFonts w:hint="default" w:ascii="Arial" w:hAnsi="Arial" w:cs="Arial"/>
      <w:color w:val="auto"/>
      <w:sz w:val="22"/>
      <w:szCs w:val="22"/>
      <w:u w:val="none"/>
    </w:rPr>
  </w:style>
  <w:style w:type="character" w:customStyle="1" w:styleId="282">
    <w:name w:val="font61"/>
    <w:basedOn w:val="56"/>
    <w:qFormat/>
    <w:uiPriority w:val="0"/>
    <w:rPr>
      <w:rFonts w:hint="default" w:ascii="Arial" w:hAnsi="Arial" w:cs="Arial"/>
      <w:color w:val="auto"/>
      <w:sz w:val="22"/>
      <w:szCs w:val="22"/>
      <w:u w:val="none"/>
    </w:rPr>
  </w:style>
  <w:style w:type="paragraph" w:customStyle="1" w:styleId="283">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81C973-C72F-4C53-949D-9CA9137FB74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1240</Words>
  <Characters>7072</Characters>
  <Lines>58</Lines>
  <Paragraphs>16</Paragraphs>
  <ScaleCrop>false</ScaleCrop>
  <LinksUpToDate>false</LinksUpToDate>
  <CharactersWithSpaces>8296</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2018-01-16T15:04:30Z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